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1"/>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8"/>
        <w:keepNext w:val="0"/>
        <w:keepLines w:val="0"/>
        <w:pageBreakBefore w:val="0"/>
        <w:widowControl/>
        <w:kinsoku/>
        <w:wordWrap/>
        <w:overflowPunct/>
        <w:topLinePunct w:val="0"/>
        <w:autoSpaceDE/>
        <w:autoSpaceDN/>
        <w:bidi w:val="0"/>
        <w:adjustRightInd/>
        <w:snapToGrid/>
        <w:spacing w:before="485" w:beforeLines="155" w:after="0" w:line="59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right="0" w:rightChars="0"/>
        <w:jc w:val="center"/>
        <w:textAlignment w:val="auto"/>
        <w:rPr>
          <w:rFonts w:hint="default" w:ascii="Times New Roman" w:hAnsi="Times New Roman" w:eastAsia="方正小标宋简体" w:cs="Times New Roman"/>
          <w:color w:val="000000"/>
          <w:spacing w:val="-4"/>
          <w:sz w:val="44"/>
          <w:szCs w:val="44"/>
          <w:lang w:eastAsia="zh-CN"/>
        </w:rPr>
      </w:pPr>
      <w:r>
        <w:rPr>
          <w:rFonts w:hint="default" w:ascii="Times New Roman" w:hAnsi="Times New Roman" w:eastAsia="方正小标宋简体" w:cs="Times New Roman"/>
          <w:color w:val="000000"/>
          <w:spacing w:val="-4"/>
          <w:sz w:val="44"/>
          <w:szCs w:val="44"/>
          <w:lang w:eastAsia="zh-CN"/>
        </w:rPr>
        <w:t>大英县商务和经济合作局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right="0" w:rightChars="0"/>
        <w:jc w:val="center"/>
        <w:textAlignment w:val="baseline"/>
        <w:outlineLvl w:val="9"/>
        <w:rPr>
          <w:rFonts w:hint="eastAsia" w:ascii="Times New Roman" w:hAnsi="Times New Roman" w:eastAsia="方正小标宋简体" w:cs="Times New Roman"/>
          <w:color w:val="000000"/>
          <w:spacing w:val="-4"/>
          <w:sz w:val="44"/>
          <w:szCs w:val="44"/>
          <w:lang w:val="en-US" w:eastAsia="zh-CN"/>
        </w:rPr>
      </w:pPr>
      <w:r>
        <w:rPr>
          <w:rFonts w:hint="eastAsia" w:ascii="Times New Roman" w:hAnsi="Times New Roman" w:eastAsia="方正小标宋简体" w:cs="Times New Roman"/>
          <w:color w:val="000000"/>
          <w:spacing w:val="-4"/>
          <w:sz w:val="44"/>
          <w:szCs w:val="44"/>
          <w:lang w:val="en-US" w:eastAsia="zh-CN"/>
        </w:rPr>
        <w:t>关于兑现大英鑫业物流有限公司优惠政策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right="0" w:rightChars="0"/>
        <w:jc w:val="center"/>
        <w:textAlignment w:val="baseline"/>
        <w:outlineLvl w:val="9"/>
        <w:rPr>
          <w:rFonts w:hint="default" w:ascii="Times New Roman" w:hAnsi="Times New Roman" w:eastAsia="仿宋_GB2312" w:cs="Times New Roman"/>
          <w:color w:val="000000"/>
          <w:spacing w:val="-4"/>
          <w:sz w:val="32"/>
          <w:lang w:val="en-US" w:eastAsia="zh-CN"/>
        </w:rPr>
      </w:pPr>
      <w:r>
        <w:rPr>
          <w:rFonts w:hint="eastAsia" w:ascii="Times New Roman" w:hAnsi="Times New Roman" w:eastAsia="方正小标宋简体" w:cs="Times New Roman"/>
          <w:color w:val="000000"/>
          <w:spacing w:val="-4"/>
          <w:sz w:val="44"/>
          <w:szCs w:val="44"/>
          <w:lang w:val="en-US" w:eastAsia="zh-CN"/>
        </w:rPr>
        <w:t>项目支出绩效自评的报告</w:t>
      </w:r>
    </w:p>
    <w:p>
      <w:pPr>
        <w:keepNext w:val="0"/>
        <w:keepLines w:val="0"/>
        <w:pageBreakBefore w:val="0"/>
        <w:kinsoku/>
        <w:wordWrap/>
        <w:overflowPunct/>
        <w:topLinePunct w:val="0"/>
        <w:autoSpaceDE/>
        <w:autoSpaceDN/>
        <w:bidi w:val="0"/>
        <w:adjustRightInd w:val="0"/>
        <w:snapToGrid w:val="0"/>
        <w:spacing w:line="560" w:lineRule="exact"/>
        <w:ind w:right="0" w:rightChars="0"/>
        <w:jc w:val="both"/>
        <w:textAlignment w:val="auto"/>
        <w:rPr>
          <w:rFonts w:hint="eastAsia" w:ascii="Times New Roman" w:hAnsi="Times New Roman" w:eastAsia="仿宋_GB2312" w:cs="仿宋_GB2312"/>
          <w:spacing w:val="-4"/>
          <w:sz w:val="32"/>
          <w:szCs w:val="32"/>
          <w:lang w:val="en-US" w:eastAsia="zh-CN"/>
        </w:rPr>
      </w:pPr>
    </w:p>
    <w:p>
      <w:pPr>
        <w:keepNext w:val="0"/>
        <w:keepLines w:val="0"/>
        <w:pageBreakBefore w:val="0"/>
        <w:kinsoku/>
        <w:wordWrap/>
        <w:overflowPunct/>
        <w:topLinePunct w:val="0"/>
        <w:autoSpaceDE/>
        <w:autoSpaceDN/>
        <w:bidi w:val="0"/>
        <w:adjustRightInd w:val="0"/>
        <w:snapToGrid w:val="0"/>
        <w:spacing w:line="590" w:lineRule="exact"/>
        <w:ind w:right="0" w:rightChars="0"/>
        <w:jc w:val="both"/>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县财政局：</w:t>
      </w:r>
    </w:p>
    <w:p>
      <w:pPr>
        <w:keepNext w:val="0"/>
        <w:keepLines w:val="0"/>
        <w:pageBreakBefore w:val="0"/>
        <w:widowControl w:val="0"/>
        <w:kinsoku/>
        <w:wordWrap/>
        <w:overflowPunct/>
        <w:topLinePunct w:val="0"/>
        <w:autoSpaceDE/>
        <w:autoSpaceDN/>
        <w:bidi w:val="0"/>
        <w:adjustRightInd w:val="0"/>
        <w:snapToGrid w:val="0"/>
        <w:spacing w:line="590" w:lineRule="exact"/>
        <w:ind w:left="0" w:right="0" w:rightChars="0" w:firstLine="624" w:firstLineChars="200"/>
        <w:jc w:val="left"/>
        <w:textAlignment w:val="auto"/>
        <w:rPr>
          <w:rFonts w:hint="eastAsia" w:ascii="仿宋_GB2312" w:hAnsi="仿宋_GB2312" w:eastAsia="仿宋_GB2312"/>
          <w:color w:val="000000"/>
          <w:spacing w:val="-4"/>
          <w:sz w:val="32"/>
        </w:rPr>
      </w:pPr>
      <w:r>
        <w:rPr>
          <w:rFonts w:hint="eastAsia" w:ascii="仿宋_GB2312" w:hAnsi="仿宋_GB2312" w:eastAsia="仿宋_GB2312"/>
          <w:color w:val="000000"/>
          <w:spacing w:val="-4"/>
          <w:sz w:val="32"/>
        </w:rPr>
        <w:t>根据《大英县财政局关于开展202</w:t>
      </w:r>
      <w:r>
        <w:rPr>
          <w:rFonts w:hint="eastAsia" w:ascii="仿宋_GB2312" w:hAnsi="仿宋_GB2312" w:eastAsia="仿宋_GB2312"/>
          <w:color w:val="000000"/>
          <w:spacing w:val="-4"/>
          <w:sz w:val="32"/>
          <w:lang w:val="en-US" w:eastAsia="zh-CN"/>
        </w:rPr>
        <w:t>4</w:t>
      </w:r>
      <w:r>
        <w:rPr>
          <w:rFonts w:hint="eastAsia" w:ascii="仿宋_GB2312" w:hAnsi="仿宋_GB2312" w:eastAsia="仿宋_GB2312"/>
          <w:color w:val="000000"/>
          <w:spacing w:val="-4"/>
          <w:sz w:val="32"/>
        </w:rPr>
        <w:t>年</w:t>
      </w:r>
      <w:r>
        <w:rPr>
          <w:rFonts w:hint="eastAsia" w:ascii="仿宋_GB2312" w:hAnsi="仿宋_GB2312" w:eastAsia="仿宋_GB2312"/>
          <w:color w:val="000000"/>
          <w:spacing w:val="-4"/>
          <w:sz w:val="32"/>
          <w:lang w:eastAsia="zh-CN"/>
        </w:rPr>
        <w:t>度</w:t>
      </w:r>
      <w:r>
        <w:rPr>
          <w:rFonts w:hint="eastAsia" w:ascii="仿宋_GB2312" w:hAnsi="仿宋_GB2312" w:eastAsia="仿宋_GB2312"/>
          <w:color w:val="000000"/>
          <w:spacing w:val="-4"/>
          <w:sz w:val="32"/>
        </w:rPr>
        <w:t>部门、项目</w:t>
      </w:r>
      <w:r>
        <w:rPr>
          <w:rFonts w:hint="eastAsia" w:ascii="仿宋_GB2312" w:hAnsi="仿宋_GB2312" w:eastAsia="仿宋_GB2312"/>
          <w:color w:val="000000"/>
          <w:spacing w:val="-4"/>
          <w:sz w:val="32"/>
          <w:lang w:eastAsia="zh-CN"/>
        </w:rPr>
        <w:t>、政策</w:t>
      </w:r>
      <w:r>
        <w:rPr>
          <w:rFonts w:hint="eastAsia" w:ascii="仿宋_GB2312" w:hAnsi="仿宋_GB2312" w:eastAsia="仿宋_GB2312"/>
          <w:color w:val="000000"/>
          <w:spacing w:val="-4"/>
          <w:sz w:val="32"/>
        </w:rPr>
        <w:t>支出绩效自评工作的通知》（大财发〔202</w:t>
      </w:r>
      <w:r>
        <w:rPr>
          <w:rFonts w:hint="eastAsia" w:ascii="仿宋_GB2312" w:hAnsi="仿宋_GB2312" w:eastAsia="仿宋_GB2312"/>
          <w:color w:val="000000"/>
          <w:spacing w:val="-4"/>
          <w:sz w:val="32"/>
          <w:lang w:val="en-US" w:eastAsia="zh-CN"/>
        </w:rPr>
        <w:t>4</w:t>
      </w:r>
      <w:r>
        <w:rPr>
          <w:rFonts w:hint="eastAsia" w:ascii="仿宋_GB2312" w:hAnsi="仿宋_GB2312" w:eastAsia="仿宋_GB2312"/>
          <w:color w:val="000000"/>
          <w:spacing w:val="-4"/>
          <w:sz w:val="32"/>
        </w:rPr>
        <w:t>〕</w:t>
      </w:r>
      <w:r>
        <w:rPr>
          <w:rFonts w:hint="eastAsia" w:ascii="仿宋_GB2312" w:hAnsi="仿宋_GB2312" w:eastAsia="仿宋_GB2312"/>
          <w:color w:val="000000"/>
          <w:spacing w:val="-4"/>
          <w:sz w:val="32"/>
          <w:lang w:val="en-US" w:eastAsia="zh-CN"/>
        </w:rPr>
        <w:t>87</w:t>
      </w:r>
      <w:r>
        <w:rPr>
          <w:rFonts w:hint="eastAsia" w:ascii="仿宋_GB2312" w:hAnsi="仿宋_GB2312" w:eastAsia="仿宋_GB2312"/>
          <w:color w:val="000000"/>
          <w:spacing w:val="-4"/>
          <w:sz w:val="32"/>
        </w:rPr>
        <w:t>号）文件要求，我局高度重视，立即落实专人组织开展此项工作。现将我局202</w:t>
      </w:r>
      <w:r>
        <w:rPr>
          <w:rFonts w:hint="eastAsia" w:ascii="仿宋_GB2312" w:hAnsi="仿宋_GB2312" w:eastAsia="仿宋_GB2312"/>
          <w:color w:val="000000"/>
          <w:spacing w:val="-4"/>
          <w:sz w:val="32"/>
          <w:lang w:val="en-US" w:eastAsia="zh-CN"/>
        </w:rPr>
        <w:t>3</w:t>
      </w:r>
      <w:r>
        <w:rPr>
          <w:rFonts w:hint="eastAsia" w:ascii="仿宋_GB2312" w:hAnsi="仿宋_GB2312" w:eastAsia="仿宋_GB2312"/>
          <w:color w:val="000000"/>
          <w:spacing w:val="-4"/>
          <w:sz w:val="32"/>
        </w:rPr>
        <w:t>年度</w:t>
      </w:r>
      <w:r>
        <w:rPr>
          <w:rFonts w:hint="eastAsia" w:ascii="仿宋_GB2312" w:hAnsi="仿宋_GB2312" w:eastAsia="仿宋_GB2312"/>
          <w:color w:val="000000"/>
          <w:spacing w:val="-4"/>
          <w:sz w:val="32"/>
          <w:lang w:val="en-US" w:eastAsia="zh-CN"/>
        </w:rPr>
        <w:t>兑现大英鑫业物流有限公司优惠政策项目</w:t>
      </w:r>
      <w:r>
        <w:rPr>
          <w:rFonts w:hint="eastAsia" w:ascii="仿宋_GB2312" w:hAnsi="仿宋_GB2312" w:eastAsia="仿宋_GB2312"/>
          <w:color w:val="000000"/>
          <w:spacing w:val="-4"/>
          <w:sz w:val="32"/>
        </w:rPr>
        <w:t>支出绩效情况报告如下。</w:t>
      </w:r>
    </w:p>
    <w:p>
      <w:pPr>
        <w:keepNext w:val="0"/>
        <w:keepLines w:val="0"/>
        <w:pageBreakBefore w:val="0"/>
        <w:numPr>
          <w:numId w:val="0"/>
        </w:numPr>
        <w:kinsoku/>
        <w:wordWrap/>
        <w:overflowPunct/>
        <w:topLinePunct w:val="0"/>
        <w:autoSpaceDE/>
        <w:autoSpaceDN/>
        <w:bidi w:val="0"/>
        <w:adjustRightInd w:val="0"/>
        <w:snapToGrid w:val="0"/>
        <w:spacing w:line="590" w:lineRule="exact"/>
        <w:ind w:firstLine="624" w:firstLineChars="200"/>
        <w:textAlignment w:val="auto"/>
        <w:rPr>
          <w:rFonts w:hint="eastAsia" w:ascii="黑体" w:hAnsi="黑体" w:eastAsia="黑体" w:cs="黑体"/>
          <w:b w:val="0"/>
          <w:bCs/>
          <w:color w:val="000000"/>
          <w:spacing w:val="-4"/>
          <w:sz w:val="32"/>
          <w:szCs w:val="32"/>
        </w:rPr>
      </w:pPr>
      <w:r>
        <w:rPr>
          <w:rFonts w:hint="eastAsia" w:ascii="黑体" w:hAnsi="黑体" w:eastAsia="黑体" w:cs="黑体"/>
          <w:b w:val="0"/>
          <w:bCs/>
          <w:color w:val="000000"/>
          <w:spacing w:val="-4"/>
          <w:sz w:val="32"/>
          <w:szCs w:val="32"/>
          <w:lang w:val="en-US" w:eastAsia="zh-CN"/>
        </w:rPr>
        <w:t>一、</w:t>
      </w:r>
      <w:r>
        <w:rPr>
          <w:rFonts w:hint="eastAsia" w:ascii="黑体" w:hAnsi="黑体" w:eastAsia="黑体" w:cs="黑体"/>
          <w:b w:val="0"/>
          <w:bCs/>
          <w:color w:val="000000"/>
          <w:spacing w:val="-4"/>
          <w:sz w:val="32"/>
          <w:szCs w:val="32"/>
        </w:rPr>
        <w:t>基本情况</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eastAsia" w:ascii="楷体_GB2312" w:hAnsi="楷体_GB2312" w:eastAsia="楷体_GB2312" w:cs="楷体_GB2312"/>
          <w:b/>
          <w:bCs w:val="0"/>
          <w:spacing w:val="-4"/>
          <w:sz w:val="32"/>
        </w:rPr>
      </w:pPr>
      <w:r>
        <w:rPr>
          <w:rFonts w:hint="eastAsia" w:ascii="楷体_GB2312" w:hAnsi="楷体_GB2312" w:eastAsia="楷体_GB2312" w:cs="楷体_GB2312"/>
          <w:b/>
          <w:bCs w:val="0"/>
          <w:spacing w:val="-4"/>
          <w:sz w:val="32"/>
        </w:rPr>
        <w:t>（一）项目基本情况</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left="0" w:right="0" w:firstLine="627" w:firstLineChars="200"/>
        <w:jc w:val="both"/>
        <w:rPr>
          <w:rFonts w:hint="eastAsia" w:ascii="仿宋_GB2312" w:hAnsi="仿宋_GB2312" w:eastAsia="仿宋_GB2312" w:cs="Times New Roman"/>
          <w:color w:val="000000"/>
          <w:spacing w:val="-4"/>
          <w:kern w:val="2"/>
          <w:sz w:val="32"/>
          <w:szCs w:val="24"/>
          <w:lang w:val="en-US" w:eastAsia="zh-CN" w:bidi="ar-SA"/>
        </w:rPr>
      </w:pPr>
      <w:r>
        <w:rPr>
          <w:rFonts w:hint="eastAsia" w:ascii="仿宋_GB2312" w:hAnsi="仿宋_GB2312" w:eastAsia="仿宋_GB2312"/>
          <w:b/>
          <w:color w:val="000000"/>
          <w:spacing w:val="-4"/>
          <w:sz w:val="32"/>
          <w:lang w:val="en-US" w:eastAsia="zh-CN"/>
        </w:rPr>
        <w:t>1.基本概况。</w:t>
      </w:r>
      <w:r>
        <w:rPr>
          <w:rFonts w:hint="eastAsia" w:ascii="仿宋_GB2312" w:hAnsi="仿宋_GB2312" w:eastAsia="仿宋_GB2312" w:cs="Times New Roman"/>
          <w:color w:val="000000"/>
          <w:spacing w:val="-4"/>
          <w:kern w:val="2"/>
          <w:sz w:val="32"/>
          <w:szCs w:val="24"/>
          <w:lang w:val="en-US" w:eastAsia="zh-CN" w:bidi="ar-SA"/>
        </w:rPr>
        <w:t>大英鑫业物流有限公司于2012年12月与县人民政府签订投资协议。协议约定：“按大英鑫业物流有限公司上缴税金县级留成50%的额度，作为企业扶持资金”。经核实，2022年1月至2022年12月，该企业共缴纳税金25879944.85元。应按项目投资协议约定按大英鑫业物流有限公司上缴税金县级留成50%的额度，作为企业扶持资金，即451046.17元。</w:t>
      </w:r>
    </w:p>
    <w:p>
      <w:pPr>
        <w:keepNext w:val="0"/>
        <w:keepLines w:val="0"/>
        <w:pageBreakBefore w:val="0"/>
        <w:kinsoku/>
        <w:wordWrap/>
        <w:overflowPunct/>
        <w:topLinePunct w:val="0"/>
        <w:autoSpaceDE/>
        <w:autoSpaceDN/>
        <w:bidi w:val="0"/>
        <w:adjustRightInd w:val="0"/>
        <w:snapToGrid w:val="0"/>
        <w:spacing w:line="590" w:lineRule="exact"/>
        <w:ind w:leftChars="0" w:firstLine="627" w:firstLineChars="200"/>
        <w:textAlignment w:val="auto"/>
        <w:rPr>
          <w:rFonts w:hint="eastAsia" w:ascii="仿宋_GB2312" w:hAnsi="仿宋_GB2312" w:eastAsia="仿宋_GB2312"/>
          <w:b/>
          <w:color w:val="000000"/>
          <w:spacing w:val="-4"/>
          <w:sz w:val="32"/>
          <w:lang w:val="en-US" w:eastAsia="zh-CN"/>
        </w:rPr>
        <w:sectPr>
          <w:pgSz w:w="11906" w:h="16838"/>
          <w:pgMar w:top="1928" w:right="1474" w:bottom="1928" w:left="1587" w:header="851" w:footer="992" w:gutter="0"/>
          <w:pgNumType w:fmt="decimal" w:start="2"/>
          <w:cols w:space="720" w:num="1"/>
          <w:rtlGutter w:val="0"/>
          <w:docGrid w:type="lines" w:linePitch="312" w:charSpace="0"/>
        </w:sectPr>
      </w:pPr>
    </w:p>
    <w:p>
      <w:pPr>
        <w:keepNext w:val="0"/>
        <w:keepLines w:val="0"/>
        <w:pageBreakBefore w:val="0"/>
        <w:kinsoku/>
        <w:wordWrap/>
        <w:overflowPunct/>
        <w:topLinePunct w:val="0"/>
        <w:autoSpaceDE/>
        <w:autoSpaceDN/>
        <w:bidi w:val="0"/>
        <w:adjustRightInd w:val="0"/>
        <w:snapToGrid w:val="0"/>
        <w:spacing w:line="590" w:lineRule="exact"/>
        <w:ind w:leftChars="0" w:firstLine="627" w:firstLineChars="200"/>
        <w:textAlignment w:val="auto"/>
        <w:rPr>
          <w:rFonts w:hint="eastAsia" w:ascii="仿宋_GB2312" w:hAnsi="仿宋_GB2312" w:eastAsia="仿宋_GB2312" w:cs="Times New Roman"/>
          <w:color w:val="000000"/>
          <w:spacing w:val="-4"/>
          <w:kern w:val="2"/>
          <w:sz w:val="32"/>
          <w:szCs w:val="24"/>
          <w:lang w:val="en-US" w:eastAsia="zh-CN" w:bidi="ar-SA"/>
        </w:rPr>
      </w:pPr>
      <w:r>
        <w:rPr>
          <w:rFonts w:hint="eastAsia" w:ascii="仿宋_GB2312" w:hAnsi="仿宋_GB2312" w:eastAsia="仿宋_GB2312"/>
          <w:b/>
          <w:color w:val="000000"/>
          <w:spacing w:val="-4"/>
          <w:sz w:val="32"/>
          <w:lang w:val="en-US" w:eastAsia="zh-CN"/>
        </w:rPr>
        <w:t>2</w:t>
      </w:r>
      <w:r>
        <w:rPr>
          <w:rFonts w:hint="eastAsia" w:ascii="仿宋_GB2312" w:hAnsi="仿宋_GB2312" w:eastAsia="仿宋_GB2312"/>
          <w:b/>
          <w:color w:val="000000"/>
          <w:spacing w:val="-4"/>
          <w:sz w:val="32"/>
        </w:rPr>
        <w:t>.项目立项、资金申报的依据。</w:t>
      </w:r>
      <w:r>
        <w:rPr>
          <w:rFonts w:hint="eastAsia" w:ascii="仿宋_GB2312" w:hAnsi="仿宋_GB2312" w:eastAsia="仿宋_GB2312" w:cs="Times New Roman"/>
          <w:color w:val="000000"/>
          <w:spacing w:val="-4"/>
          <w:kern w:val="2"/>
          <w:sz w:val="32"/>
          <w:szCs w:val="24"/>
          <w:lang w:val="en-US" w:eastAsia="zh-CN" w:bidi="ar-SA"/>
        </w:rPr>
        <w:t>大商务经合〔2023〕37号。</w:t>
      </w:r>
    </w:p>
    <w:p>
      <w:pPr>
        <w:keepNext w:val="0"/>
        <w:keepLines w:val="0"/>
        <w:pageBreakBefore w:val="0"/>
        <w:kinsoku/>
        <w:wordWrap/>
        <w:overflowPunct/>
        <w:topLinePunct w:val="0"/>
        <w:autoSpaceDE/>
        <w:autoSpaceDN/>
        <w:bidi w:val="0"/>
        <w:adjustRightInd w:val="0"/>
        <w:snapToGrid w:val="0"/>
        <w:spacing w:line="590" w:lineRule="exact"/>
        <w:ind w:leftChars="0" w:firstLine="627" w:firstLineChars="200"/>
        <w:textAlignment w:val="auto"/>
        <w:rPr>
          <w:rFonts w:hint="eastAsia" w:ascii="仿宋_GB2312" w:hAnsi="仿宋_GB2312" w:eastAsia="仿宋_GB2312"/>
          <w:b/>
          <w:color w:val="000000"/>
          <w:spacing w:val="-4"/>
          <w:sz w:val="32"/>
          <w:lang w:val="en-US" w:eastAsia="zh-CN"/>
        </w:rPr>
      </w:pPr>
      <w:r>
        <w:rPr>
          <w:rFonts w:hint="eastAsia" w:ascii="仿宋_GB2312" w:hAnsi="仿宋_GB2312" w:eastAsia="仿宋_GB2312"/>
          <w:b/>
          <w:color w:val="000000"/>
          <w:spacing w:val="-4"/>
          <w:sz w:val="32"/>
          <w:lang w:val="en-US" w:eastAsia="zh-CN"/>
        </w:rPr>
        <w:t>3.资金管理办法制定情况，资金支持具体项目的条件、范围与支持方式概况。</w:t>
      </w:r>
      <w:r>
        <w:rPr>
          <w:rFonts w:hint="default" w:ascii="Times New Roman" w:hAnsi="Times New Roman" w:eastAsia="仿宋_GB2312" w:cs="Times New Roman"/>
          <w:spacing w:val="-4"/>
          <w:sz w:val="32"/>
        </w:rPr>
        <w:t>大英县商务和经济合作局</w:t>
      </w:r>
      <w:r>
        <w:rPr>
          <w:rFonts w:hint="default" w:ascii="Times New Roman" w:hAnsi="Times New Roman" w:eastAsia="仿宋_GB2312" w:cs="Times New Roman"/>
          <w:spacing w:val="-4"/>
          <w:sz w:val="32"/>
          <w:lang w:val="en-US" w:eastAsia="zh-CN"/>
        </w:rPr>
        <w:t>制定了项目资金管理</w:t>
      </w:r>
      <w:r>
        <w:rPr>
          <w:rFonts w:hint="eastAsia" w:eastAsia="仿宋_GB2312" w:cs="Times New Roman"/>
          <w:spacing w:val="-4"/>
          <w:sz w:val="32"/>
          <w:lang w:val="en-US" w:eastAsia="zh-CN"/>
        </w:rPr>
        <w:t>制度</w:t>
      </w:r>
      <w:r>
        <w:rPr>
          <w:rFonts w:hint="default" w:ascii="Times New Roman" w:hAnsi="Times New Roman" w:eastAsia="仿宋_GB2312" w:cs="Times New Roman"/>
          <w:spacing w:val="-4"/>
          <w:sz w:val="32"/>
          <w:lang w:val="en-US" w:eastAsia="zh-CN"/>
        </w:rPr>
        <w:t>，加强了资金管理</w:t>
      </w:r>
      <w:r>
        <w:rPr>
          <w:rFonts w:hint="eastAsia" w:eastAsia="仿宋_GB2312" w:cs="Times New Roman"/>
          <w:spacing w:val="-4"/>
          <w:sz w:val="32"/>
          <w:lang w:val="en-US" w:eastAsia="zh-CN"/>
        </w:rPr>
        <w:t>，</w:t>
      </w:r>
      <w:r>
        <w:rPr>
          <w:rFonts w:hint="eastAsia" w:ascii="仿宋_GB2312" w:hAnsi="仿宋_GB2312" w:eastAsia="仿宋_GB2312" w:cs="仿宋_GB2312"/>
          <w:color w:val="auto"/>
          <w:spacing w:val="-4"/>
          <w:sz w:val="32"/>
          <w:szCs w:val="32"/>
        </w:rPr>
        <w:t>切实做到专款专用</w:t>
      </w:r>
      <w:r>
        <w:rPr>
          <w:rFonts w:hint="eastAsia" w:ascii="仿宋_GB2312" w:hAnsi="仿宋_GB2312" w:eastAsia="仿宋_GB2312" w:cs="Times New Roman"/>
          <w:color w:val="000000"/>
          <w:spacing w:val="-4"/>
          <w:kern w:val="2"/>
          <w:sz w:val="32"/>
          <w:szCs w:val="24"/>
          <w:lang w:val="en-US" w:eastAsia="zh-CN" w:bidi="ar-SA"/>
        </w:rPr>
        <w:t>。</w:t>
      </w:r>
    </w:p>
    <w:p>
      <w:pPr>
        <w:keepNext w:val="0"/>
        <w:keepLines w:val="0"/>
        <w:pageBreakBefore w:val="0"/>
        <w:kinsoku/>
        <w:wordWrap/>
        <w:overflowPunct/>
        <w:topLinePunct w:val="0"/>
        <w:autoSpaceDN/>
        <w:bidi w:val="0"/>
        <w:spacing w:line="590" w:lineRule="exact"/>
        <w:ind w:firstLine="627" w:firstLineChars="200"/>
        <w:rPr>
          <w:rFonts w:hint="eastAsia" w:eastAsia="仿宋_GB2312"/>
          <w:lang w:eastAsia="zh-CN"/>
        </w:rPr>
      </w:pPr>
      <w:r>
        <w:rPr>
          <w:rFonts w:hint="eastAsia" w:ascii="仿宋_GB2312" w:hAnsi="仿宋_GB2312" w:eastAsia="仿宋_GB2312"/>
          <w:b/>
          <w:spacing w:val="-4"/>
          <w:sz w:val="32"/>
          <w:lang w:val="en-US" w:eastAsia="zh-CN"/>
        </w:rPr>
        <w:t>4</w:t>
      </w:r>
      <w:r>
        <w:rPr>
          <w:rFonts w:hint="eastAsia" w:ascii="仿宋_GB2312" w:hAnsi="仿宋_GB2312" w:eastAsia="仿宋_GB2312"/>
          <w:b/>
          <w:spacing w:val="-4"/>
          <w:sz w:val="32"/>
        </w:rPr>
        <w:t>.资金分配的原则及考虑因素。</w:t>
      </w:r>
      <w:r>
        <w:rPr>
          <w:rFonts w:hint="eastAsia" w:ascii="仿宋_GB2312" w:hAnsi="仿宋_GB2312" w:eastAsia="仿宋_GB2312"/>
          <w:color w:val="000000"/>
          <w:spacing w:val="-4"/>
          <w:sz w:val="32"/>
        </w:rPr>
        <w:t>资金分配按照规范性、合理性、及时性原则使用</w:t>
      </w:r>
      <w:r>
        <w:rPr>
          <w:rFonts w:hint="eastAsia" w:ascii="仿宋_GB2312" w:hAnsi="仿宋_GB2312" w:eastAsia="仿宋_GB2312"/>
          <w:color w:val="000000"/>
          <w:spacing w:val="-4"/>
          <w:sz w:val="32"/>
          <w:lang w:eastAsia="zh-CN"/>
        </w:rPr>
        <w:t>。</w:t>
      </w:r>
    </w:p>
    <w:p>
      <w:pPr>
        <w:keepNext w:val="0"/>
        <w:keepLines w:val="0"/>
        <w:pageBreakBefore w:val="0"/>
        <w:widowControl/>
        <w:kinsoku/>
        <w:wordWrap/>
        <w:overflowPunct/>
        <w:topLinePunct w:val="0"/>
        <w:autoSpaceDE/>
        <w:autoSpaceDN/>
        <w:bidi w:val="0"/>
        <w:adjustRightInd w:val="0"/>
        <w:snapToGrid w:val="0"/>
        <w:spacing w:line="590" w:lineRule="exact"/>
        <w:ind w:left="0" w:right="0" w:firstLine="627" w:firstLineChars="200"/>
        <w:jc w:val="both"/>
        <w:textAlignment w:val="baseline"/>
        <w:rPr>
          <w:rFonts w:hint="default" w:ascii="楷体_GB2312" w:hAnsi="楷体_GB2312" w:eastAsia="楷体_GB2312" w:cs="楷体_GB2312"/>
          <w:b/>
          <w:bCs w:val="0"/>
          <w:spacing w:val="-4"/>
          <w:sz w:val="32"/>
        </w:rPr>
      </w:pPr>
      <w:r>
        <w:rPr>
          <w:rFonts w:hint="default" w:ascii="楷体_GB2312" w:hAnsi="楷体_GB2312" w:eastAsia="楷体_GB2312" w:cs="楷体_GB2312"/>
          <w:b/>
          <w:bCs w:val="0"/>
          <w:spacing w:val="-4"/>
          <w:sz w:val="32"/>
        </w:rPr>
        <w:t>（二）项目绩效目标</w:t>
      </w:r>
    </w:p>
    <w:p>
      <w:pPr>
        <w:keepNext w:val="0"/>
        <w:keepLines w:val="0"/>
        <w:pageBreakBefore w:val="0"/>
        <w:kinsoku/>
        <w:wordWrap/>
        <w:overflowPunct/>
        <w:topLinePunct w:val="0"/>
        <w:autoSpaceDE/>
        <w:autoSpaceDN/>
        <w:bidi w:val="0"/>
        <w:adjustRightInd/>
        <w:spacing w:line="590" w:lineRule="exact"/>
        <w:ind w:firstLine="627" w:firstLineChars="200"/>
        <w:jc w:val="both"/>
        <w:rPr>
          <w:rFonts w:hint="default" w:ascii="Times New Roman" w:hAnsi="Times New Roman" w:eastAsia="仿宋_GB2312" w:cs="Times New Roman"/>
          <w:spacing w:val="-4"/>
          <w:sz w:val="32"/>
        </w:rPr>
      </w:pPr>
      <w:r>
        <w:rPr>
          <w:rFonts w:hint="default" w:ascii="Times New Roman" w:hAnsi="Times New Roman" w:eastAsia="仿宋_GB2312" w:cs="Times New Roman"/>
          <w:b/>
          <w:color w:val="000000"/>
          <w:spacing w:val="-4"/>
          <w:sz w:val="32"/>
        </w:rPr>
        <w:t>1.项目主要内容。</w:t>
      </w:r>
      <w:r>
        <w:rPr>
          <w:rFonts w:hint="eastAsia" w:ascii="Times New Roman" w:hAnsi="Times New Roman" w:eastAsia="仿宋_GB2312" w:cs="Times New Roman"/>
          <w:spacing w:val="-4"/>
          <w:sz w:val="32"/>
        </w:rPr>
        <w:t>用于</w:t>
      </w:r>
      <w:r>
        <w:rPr>
          <w:rFonts w:hint="eastAsia" w:ascii="仿宋_GB2312" w:hAnsi="仿宋_GB2312" w:eastAsia="仿宋_GB2312" w:cs="Times New Roman"/>
          <w:color w:val="000000"/>
          <w:spacing w:val="-4"/>
          <w:kern w:val="2"/>
          <w:sz w:val="32"/>
          <w:szCs w:val="24"/>
          <w:lang w:val="en-US" w:eastAsia="zh-CN" w:bidi="ar-SA"/>
        </w:rPr>
        <w:t>大英鑫业物流有限公司</w:t>
      </w:r>
      <w:r>
        <w:rPr>
          <w:rFonts w:hint="eastAsia" w:ascii="Times New Roman" w:hAnsi="Times New Roman" w:eastAsia="仿宋_GB2312" w:cs="Times New Roman"/>
          <w:spacing w:val="-4"/>
          <w:sz w:val="32"/>
          <w:lang w:eastAsia="zh-CN"/>
        </w:rPr>
        <w:t>优惠政策</w:t>
      </w:r>
      <w:r>
        <w:rPr>
          <w:rFonts w:hint="eastAsia" w:ascii="Times New Roman" w:hAnsi="Times New Roman" w:eastAsia="仿宋_GB2312" w:cs="Times New Roman"/>
          <w:spacing w:val="-4"/>
          <w:sz w:val="32"/>
        </w:rPr>
        <w:t>资金</w:t>
      </w:r>
      <w:r>
        <w:rPr>
          <w:rFonts w:hint="eastAsia" w:ascii="Times New Roman" w:hAnsi="Times New Roman" w:eastAsia="仿宋_GB2312" w:cs="Times New Roman"/>
          <w:spacing w:val="-4"/>
          <w:sz w:val="32"/>
          <w:lang w:eastAsia="zh-CN"/>
        </w:rPr>
        <w:t>，</w:t>
      </w:r>
      <w:r>
        <w:rPr>
          <w:rFonts w:hint="eastAsia" w:ascii="Times New Roman" w:hAnsi="Times New Roman" w:eastAsia="仿宋_GB2312" w:cs="Times New Roman"/>
          <w:spacing w:val="-4"/>
          <w:sz w:val="32"/>
        </w:rPr>
        <w:t>共计</w:t>
      </w:r>
      <w:r>
        <w:rPr>
          <w:rFonts w:hint="eastAsia" w:ascii="Times New Roman" w:hAnsi="Times New Roman" w:eastAsia="仿宋_GB2312" w:cs="Times New Roman"/>
          <w:spacing w:val="-4"/>
          <w:sz w:val="32"/>
          <w:lang w:val="en-US" w:eastAsia="zh-CN"/>
        </w:rPr>
        <w:t>45.1万</w:t>
      </w:r>
      <w:r>
        <w:rPr>
          <w:rFonts w:hint="eastAsia" w:ascii="Times New Roman" w:hAnsi="Times New Roman" w:eastAsia="仿宋_GB2312" w:cs="Times New Roman"/>
          <w:spacing w:val="-4"/>
          <w:sz w:val="32"/>
        </w:rPr>
        <w:t>元</w:t>
      </w:r>
      <w:r>
        <w:rPr>
          <w:rFonts w:hint="default" w:ascii="Times New Roman" w:hAnsi="Times New Roman" w:eastAsia="仿宋_GB2312" w:cs="Times New Roman"/>
          <w:spacing w:val="-4"/>
          <w:sz w:val="32"/>
        </w:rPr>
        <w:t>。</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rightChars="0" w:firstLine="627" w:firstLineChars="200"/>
        <w:jc w:val="both"/>
        <w:textAlignment w:val="auto"/>
        <w:outlineLvl w:val="9"/>
        <w:rPr>
          <w:rFonts w:hint="default" w:ascii="Times New Roman" w:hAnsi="Times New Roman" w:eastAsia="仿宋_GB2312" w:cs="Times New Roman"/>
          <w:b/>
          <w:bCs/>
          <w:spacing w:val="-4"/>
          <w:sz w:val="32"/>
        </w:rPr>
      </w:pPr>
      <w:r>
        <w:rPr>
          <w:rFonts w:hint="default" w:ascii="Times New Roman" w:hAnsi="Times New Roman" w:eastAsia="仿宋_GB2312" w:cs="Times New Roman"/>
          <w:b/>
          <w:bCs/>
          <w:spacing w:val="-4"/>
          <w:sz w:val="32"/>
        </w:rPr>
        <w:t>2.项目应实现的具体绩效目标，包括目标的量化、细化情况以及项目实施进度计划等。</w:t>
      </w:r>
    </w:p>
    <w:tbl>
      <w:tblPr>
        <w:tblStyle w:val="12"/>
        <w:tblW w:w="87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5"/>
        <w:gridCol w:w="1211"/>
        <w:gridCol w:w="1529"/>
        <w:gridCol w:w="2154"/>
        <w:gridCol w:w="1446"/>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restart"/>
            <w:tcBorders>
              <w:top w:val="single" w:color="000000"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绩效</w:t>
            </w:r>
          </w:p>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指标</w:t>
            </w:r>
          </w:p>
        </w:tc>
        <w:tc>
          <w:tcPr>
            <w:tcW w:w="121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一级指标</w:t>
            </w: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二级指标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三级指标</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指标值</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18"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default" w:ascii="Times New Roman" w:hAnsi="Times New Roman" w:eastAsia="仿宋_GB2312" w:cs="Times New Roman"/>
                <w:color w:val="000000"/>
                <w:spacing w:val="-4"/>
                <w:kern w:val="0"/>
                <w:sz w:val="22"/>
                <w:szCs w:val="22"/>
              </w:rPr>
            </w:pPr>
          </w:p>
        </w:tc>
        <w:tc>
          <w:tcPr>
            <w:tcW w:w="1211" w:type="dxa"/>
            <w:vMerge w:val="restart"/>
            <w:tcBorders>
              <w:top w:val="single" w:color="000000" w:sz="4" w:space="0"/>
              <w:left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产出指标</w:t>
            </w: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数量指标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补助发放企业数量</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=1个</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rPr>
                <w:rFonts w:hint="default" w:ascii="Times New Roman" w:hAnsi="Times New Roman" w:eastAsia="仿宋_GB2312" w:cs="Times New Roman"/>
                <w:color w:val="000000"/>
                <w:spacing w:val="-4"/>
                <w:sz w:val="24"/>
                <w:szCs w:val="22"/>
              </w:rPr>
            </w:pPr>
          </w:p>
        </w:tc>
        <w:tc>
          <w:tcPr>
            <w:tcW w:w="1211" w:type="dxa"/>
            <w:vMerge w:val="continue"/>
            <w:tcBorders>
              <w:left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eastAsia" w:ascii="Times New Roman" w:hAnsi="Times New Roman" w:eastAsia="仿宋_GB2312" w:cs="Times New Roman"/>
                <w:color w:val="000000"/>
                <w:spacing w:val="-4"/>
                <w:kern w:val="0"/>
                <w:sz w:val="24"/>
                <w:szCs w:val="22"/>
                <w:lang w:val="en-US" w:eastAsia="zh-CN" w:bidi="ar-SA"/>
              </w:rPr>
            </w:pP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质量指标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补助大英鑫业物流有限公司资金发放准确率</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=100%</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rPr>
                <w:rFonts w:hint="default" w:ascii="Times New Roman" w:hAnsi="Times New Roman" w:eastAsia="仿宋_GB2312" w:cs="Times New Roman"/>
                <w:color w:val="000000"/>
                <w:spacing w:val="-4"/>
                <w:sz w:val="24"/>
                <w:szCs w:val="22"/>
              </w:rPr>
            </w:pPr>
          </w:p>
        </w:tc>
        <w:tc>
          <w:tcPr>
            <w:tcW w:w="1211" w:type="dxa"/>
            <w:vMerge w:val="continue"/>
            <w:tcBorders>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eastAsia" w:ascii="Times New Roman" w:hAnsi="Times New Roman" w:eastAsia="仿宋_GB2312" w:cs="Times New Roman"/>
                <w:color w:val="000000"/>
                <w:spacing w:val="-4"/>
                <w:kern w:val="0"/>
                <w:sz w:val="24"/>
                <w:szCs w:val="22"/>
                <w:lang w:val="en-US" w:eastAsia="zh-CN" w:bidi="ar-SA"/>
              </w:rPr>
            </w:pP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时效指标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补助大英鑫业物流有限公司资金发放及时率</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=100%</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rPr>
                <w:rFonts w:hint="default" w:ascii="Times New Roman" w:hAnsi="Times New Roman" w:eastAsia="仿宋_GB2312" w:cs="Times New Roman"/>
                <w:color w:val="000000"/>
                <w:spacing w:val="-4"/>
                <w:sz w:val="24"/>
                <w:szCs w:val="22"/>
              </w:rPr>
            </w:pPr>
          </w:p>
        </w:tc>
        <w:tc>
          <w:tcPr>
            <w:tcW w:w="1211" w:type="dxa"/>
            <w:vMerge w:val="restart"/>
            <w:tcBorders>
              <w:top w:val="single" w:color="auto" w:sz="4" w:space="0"/>
              <w:left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效益指标</w:t>
            </w: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社会效益指标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补助大英鑫业物流有限公司资金应发尽发率</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=100%</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rPr>
                <w:rFonts w:hint="default" w:ascii="Times New Roman" w:hAnsi="Times New Roman" w:eastAsia="仿宋_GB2312" w:cs="Times New Roman"/>
                <w:color w:val="000000"/>
                <w:spacing w:val="-4"/>
                <w:sz w:val="24"/>
                <w:szCs w:val="22"/>
              </w:rPr>
            </w:pPr>
          </w:p>
        </w:tc>
        <w:tc>
          <w:tcPr>
            <w:tcW w:w="1211" w:type="dxa"/>
            <w:vMerge w:val="continue"/>
            <w:tcBorders>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eastAsia" w:ascii="Times New Roman" w:hAnsi="Times New Roman" w:eastAsia="仿宋_GB2312" w:cs="Times New Roman"/>
                <w:color w:val="000000"/>
                <w:spacing w:val="-4"/>
                <w:kern w:val="0"/>
                <w:sz w:val="24"/>
                <w:szCs w:val="22"/>
                <w:lang w:val="en-US" w:eastAsia="zh-CN" w:bidi="ar-SA"/>
              </w:rPr>
            </w:pP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经济效益指标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大英鑫业物流有限公司全年入库税金</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w:t>
            </w:r>
            <w:r>
              <w:rPr>
                <w:rFonts w:hint="eastAsia" w:ascii="Times New Roman" w:hAnsi="Times New Roman" w:eastAsia="仿宋_GB2312" w:cs="Times New Roman"/>
                <w:color w:val="000000"/>
                <w:spacing w:val="-4"/>
                <w:kern w:val="0"/>
                <w:sz w:val="24"/>
                <w:szCs w:val="22"/>
                <w:lang w:val="en-US" w:eastAsia="zh-CN" w:bidi="ar-SA"/>
              </w:rPr>
              <w:t>100万元</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rPr>
                <w:rFonts w:hint="default" w:ascii="Times New Roman" w:hAnsi="Times New Roman" w:eastAsia="仿宋_GB2312" w:cs="Times New Roman"/>
                <w:color w:val="000000"/>
                <w:spacing w:val="-4"/>
                <w:sz w:val="24"/>
                <w:szCs w:val="22"/>
              </w:rPr>
            </w:pPr>
          </w:p>
        </w:tc>
        <w:tc>
          <w:tcPr>
            <w:tcW w:w="1211" w:type="dxa"/>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满意度指标</w:t>
            </w: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服务对象满意度指标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补助大英鑫业物流有限公司满意度</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w:t>
            </w:r>
            <w:r>
              <w:rPr>
                <w:rFonts w:hint="eastAsia" w:ascii="Times New Roman" w:hAnsi="Times New Roman" w:eastAsia="仿宋_GB2312" w:cs="Times New Roman"/>
                <w:color w:val="000000"/>
                <w:spacing w:val="-4"/>
                <w:kern w:val="0"/>
                <w:sz w:val="24"/>
                <w:szCs w:val="22"/>
                <w:lang w:val="en-US" w:eastAsia="zh-CN" w:bidi="ar-SA"/>
              </w:rPr>
              <w:t>98%</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9" w:hRule="atLeast"/>
          <w:jc w:val="center"/>
        </w:trPr>
        <w:tc>
          <w:tcPr>
            <w:tcW w:w="665"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rPr>
                <w:rFonts w:hint="default" w:ascii="Times New Roman" w:hAnsi="Times New Roman" w:eastAsia="仿宋_GB2312" w:cs="Times New Roman"/>
                <w:color w:val="000000"/>
                <w:spacing w:val="-4"/>
                <w:sz w:val="24"/>
                <w:szCs w:val="22"/>
              </w:rPr>
            </w:pPr>
          </w:p>
        </w:tc>
        <w:tc>
          <w:tcPr>
            <w:tcW w:w="1211" w:type="dxa"/>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成本指标</w:t>
            </w:r>
          </w:p>
        </w:tc>
        <w:tc>
          <w:tcPr>
            <w:tcW w:w="152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经济成本指标</w:t>
            </w:r>
          </w:p>
        </w:tc>
        <w:tc>
          <w:tcPr>
            <w:tcW w:w="215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eastAsia" w:ascii="Times New Roman" w:hAnsi="Times New Roman" w:eastAsia="仿宋_GB2312" w:cs="Times New Roman"/>
                <w:color w:val="000000"/>
                <w:spacing w:val="-4"/>
                <w:kern w:val="0"/>
                <w:sz w:val="24"/>
                <w:szCs w:val="22"/>
                <w:lang w:val="en-US" w:eastAsia="zh-CN" w:bidi="ar-SA"/>
              </w:rPr>
            </w:pPr>
            <w:r>
              <w:rPr>
                <w:rFonts w:hint="eastAsia" w:ascii="Times New Roman" w:hAnsi="Times New Roman" w:eastAsia="仿宋_GB2312" w:cs="Times New Roman"/>
                <w:color w:val="000000"/>
                <w:spacing w:val="-4"/>
                <w:kern w:val="0"/>
                <w:sz w:val="24"/>
                <w:szCs w:val="22"/>
                <w:lang w:val="en-US" w:eastAsia="zh-CN" w:bidi="ar-SA"/>
              </w:rPr>
              <w:t>补助大英鑫业物流有限公司资金</w:t>
            </w:r>
          </w:p>
        </w:tc>
        <w:tc>
          <w:tcPr>
            <w:tcW w:w="1446"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w:t>
            </w:r>
            <w:r>
              <w:rPr>
                <w:rFonts w:hint="eastAsia" w:ascii="Times New Roman" w:hAnsi="Times New Roman" w:eastAsia="仿宋_GB2312" w:cs="Times New Roman"/>
                <w:color w:val="000000"/>
                <w:spacing w:val="-4"/>
                <w:kern w:val="0"/>
                <w:sz w:val="24"/>
                <w:szCs w:val="22"/>
                <w:lang w:val="en-US" w:eastAsia="zh-CN" w:bidi="ar-SA"/>
              </w:rPr>
              <w:t>45.1万元</w:t>
            </w:r>
          </w:p>
        </w:tc>
        <w:tc>
          <w:tcPr>
            <w:tcW w:w="171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已完成100%</w:t>
            </w:r>
          </w:p>
        </w:tc>
      </w:tr>
    </w:tbl>
    <w:p>
      <w:pPr>
        <w:pStyle w:val="2"/>
        <w:keepNext w:val="0"/>
        <w:keepLines w:val="0"/>
        <w:pageBreakBefore w:val="0"/>
        <w:widowControl/>
        <w:numPr>
          <w:ilvl w:val="0"/>
          <w:numId w:val="0"/>
        </w:numPr>
        <w:kinsoku/>
        <w:wordWrap/>
        <w:overflowPunct/>
        <w:topLinePunct w:val="0"/>
        <w:autoSpaceDE/>
        <w:autoSpaceDN/>
        <w:bidi w:val="0"/>
        <w:adjustRightInd/>
        <w:spacing w:line="589" w:lineRule="exact"/>
        <w:ind w:firstLine="627" w:firstLineChars="200"/>
        <w:jc w:val="both"/>
        <w:rPr>
          <w:rFonts w:hint="default" w:ascii="Times New Roman" w:hAnsi="Times New Roman" w:eastAsia="仿宋_GB2312" w:cs="Times New Roman"/>
          <w:color w:val="000000"/>
          <w:spacing w:val="-4"/>
          <w:sz w:val="32"/>
        </w:rPr>
      </w:pPr>
      <w:r>
        <w:rPr>
          <w:rFonts w:hint="default" w:ascii="Times New Roman" w:hAnsi="Times New Roman" w:eastAsia="仿宋_GB2312" w:cs="Times New Roman"/>
          <w:b/>
          <w:color w:val="000000"/>
          <w:spacing w:val="-4"/>
          <w:sz w:val="32"/>
        </w:rPr>
        <w:t>3.分析评价申报内容是否与实际相符，申报目标是否合理可行。</w:t>
      </w:r>
      <w:r>
        <w:rPr>
          <w:rFonts w:hint="default" w:ascii="Times New Roman" w:hAnsi="Times New Roman" w:eastAsia="仿宋_GB2312" w:cs="Times New Roman"/>
          <w:color w:val="000000"/>
          <w:spacing w:val="-4"/>
          <w:sz w:val="32"/>
        </w:rPr>
        <w:t>评价申报内容与实际相符，申报目标合理可行。</w:t>
      </w:r>
    </w:p>
    <w:p>
      <w:pPr>
        <w:keepNext w:val="0"/>
        <w:keepLines w:val="0"/>
        <w:pageBreakBefore w:val="0"/>
        <w:widowControl/>
        <w:kinsoku/>
        <w:wordWrap/>
        <w:overflowPunct/>
        <w:topLinePunct w:val="0"/>
        <w:autoSpaceDE/>
        <w:autoSpaceDN/>
        <w:bidi w:val="0"/>
        <w:adjustRightInd w:val="0"/>
        <w:snapToGrid w:val="0"/>
        <w:spacing w:line="589" w:lineRule="exact"/>
        <w:ind w:left="0" w:right="0" w:firstLine="627" w:firstLineChars="200"/>
        <w:jc w:val="both"/>
        <w:textAlignment w:val="baseline"/>
        <w:rPr>
          <w:rFonts w:hint="default" w:ascii="楷体_GB2312" w:hAnsi="楷体_GB2312" w:eastAsia="楷体_GB2312" w:cs="楷体_GB2312"/>
          <w:b/>
          <w:bCs w:val="0"/>
          <w:spacing w:val="-4"/>
          <w:sz w:val="32"/>
        </w:rPr>
      </w:pPr>
      <w:r>
        <w:rPr>
          <w:rFonts w:hint="default" w:ascii="楷体_GB2312" w:hAnsi="楷体_GB2312" w:eastAsia="楷体_GB2312" w:cs="楷体_GB2312"/>
          <w:b/>
          <w:bCs w:val="0"/>
          <w:spacing w:val="-4"/>
          <w:sz w:val="32"/>
        </w:rPr>
        <w:t>（三）项目自评步骤及方法</w:t>
      </w:r>
    </w:p>
    <w:p>
      <w:pPr>
        <w:keepNext w:val="0"/>
        <w:keepLines w:val="0"/>
        <w:pageBreakBefore w:val="0"/>
        <w:widowControl/>
        <w:kinsoku/>
        <w:wordWrap/>
        <w:overflowPunct/>
        <w:topLinePunct w:val="0"/>
        <w:autoSpaceDE/>
        <w:autoSpaceDN/>
        <w:bidi w:val="0"/>
        <w:adjustRightInd w:val="0"/>
        <w:snapToGrid w:val="0"/>
        <w:spacing w:line="589" w:lineRule="exact"/>
        <w:ind w:leftChars="0" w:firstLine="624" w:firstLineChars="200"/>
        <w:textAlignment w:val="auto"/>
        <w:rPr>
          <w:rFonts w:hint="eastAsia" w:ascii="Times New Roman" w:hAnsi="Times New Roman" w:eastAsia="仿宋_GB2312" w:cs="Times New Roman"/>
          <w:b w:val="0"/>
          <w:bCs/>
          <w:color w:val="000000"/>
          <w:spacing w:val="-4"/>
          <w:sz w:val="32"/>
          <w:szCs w:val="32"/>
        </w:rPr>
      </w:pPr>
      <w:r>
        <w:rPr>
          <w:rFonts w:hint="eastAsia" w:ascii="Times New Roman" w:hAnsi="Times New Roman" w:eastAsia="仿宋_GB2312" w:cs="Times New Roman"/>
          <w:b w:val="0"/>
          <w:bCs/>
          <w:color w:val="000000"/>
          <w:spacing w:val="-4"/>
          <w:sz w:val="32"/>
          <w:szCs w:val="32"/>
        </w:rPr>
        <w:t>通过核对财务账目等方式，对资金使用进行评价。本次绩效评价采用百分制，各级指标依据其指标权重确定分值，最终得分由各级评价指标得分加总形成。根据最终得分将评价标准分为四个等级:优(得分≥90分);良(80分s得分&lt;90分);中(60≤得分&lt;80分);差(得分&lt;60分)。</w:t>
      </w:r>
    </w:p>
    <w:p>
      <w:pPr>
        <w:keepNext w:val="0"/>
        <w:keepLines w:val="0"/>
        <w:pageBreakBefore w:val="0"/>
        <w:widowControl/>
        <w:kinsoku/>
        <w:wordWrap/>
        <w:overflowPunct/>
        <w:topLinePunct w:val="0"/>
        <w:autoSpaceDE/>
        <w:autoSpaceDN/>
        <w:bidi w:val="0"/>
        <w:adjustRightInd/>
        <w:spacing w:line="589" w:lineRule="exact"/>
        <w:ind w:firstLine="624" w:firstLineChars="200"/>
        <w:jc w:val="both"/>
        <w:rPr>
          <w:rFonts w:hint="default" w:ascii="Times New Roman" w:hAnsi="Times New Roman" w:eastAsia="黑体" w:cs="Times New Roman"/>
          <w:spacing w:val="-4"/>
          <w:sz w:val="32"/>
        </w:rPr>
      </w:pPr>
      <w:r>
        <w:rPr>
          <w:rFonts w:hint="default" w:ascii="Times New Roman" w:hAnsi="Times New Roman" w:eastAsia="黑体" w:cs="Times New Roman"/>
          <w:spacing w:val="-4"/>
          <w:sz w:val="32"/>
        </w:rPr>
        <w:t>二、项目资金申报及使用情况</w:t>
      </w:r>
    </w:p>
    <w:p>
      <w:pPr>
        <w:keepNext w:val="0"/>
        <w:keepLines w:val="0"/>
        <w:pageBreakBefore w:val="0"/>
        <w:widowControl/>
        <w:kinsoku/>
        <w:wordWrap/>
        <w:overflowPunct/>
        <w:topLinePunct w:val="0"/>
        <w:autoSpaceDE/>
        <w:autoSpaceDN/>
        <w:bidi w:val="0"/>
        <w:adjustRightInd/>
        <w:spacing w:line="589" w:lineRule="exact"/>
        <w:ind w:firstLine="627" w:firstLineChars="200"/>
        <w:jc w:val="both"/>
        <w:rPr>
          <w:rFonts w:hint="default" w:ascii="Times New Roman" w:hAnsi="Times New Roman" w:eastAsia="楷体_GB2312" w:cs="Times New Roman"/>
          <w:b/>
          <w:spacing w:val="-4"/>
          <w:sz w:val="32"/>
        </w:rPr>
      </w:pPr>
      <w:r>
        <w:rPr>
          <w:rFonts w:hint="default" w:ascii="Times New Roman" w:hAnsi="Times New Roman" w:eastAsia="楷体_GB2312" w:cs="Times New Roman"/>
          <w:b/>
          <w:spacing w:val="-4"/>
          <w:sz w:val="32"/>
        </w:rPr>
        <w:t>（一）项目资金申报及批复情况</w:t>
      </w:r>
    </w:p>
    <w:p>
      <w:pPr>
        <w:pStyle w:val="2"/>
        <w:keepNext w:val="0"/>
        <w:keepLines w:val="0"/>
        <w:pageBreakBefore w:val="0"/>
        <w:widowControl/>
        <w:numPr>
          <w:ilvl w:val="0"/>
          <w:numId w:val="0"/>
        </w:numPr>
        <w:kinsoku/>
        <w:wordWrap/>
        <w:overflowPunct/>
        <w:topLinePunct w:val="0"/>
        <w:autoSpaceDE/>
        <w:autoSpaceDN/>
        <w:bidi w:val="0"/>
        <w:adjustRightInd/>
        <w:spacing w:line="589" w:lineRule="exact"/>
        <w:ind w:firstLine="624" w:firstLineChars="200"/>
        <w:jc w:val="both"/>
        <w:rPr>
          <w:rFonts w:hint="default" w:ascii="Times New Roman" w:hAnsi="Times New Roman" w:eastAsia="仿宋_GB2312" w:cs="Times New Roman"/>
          <w:color w:val="000000"/>
          <w:spacing w:val="-4"/>
          <w:sz w:val="32"/>
        </w:rPr>
      </w:pPr>
      <w:r>
        <w:rPr>
          <w:rFonts w:hint="default" w:ascii="Times New Roman" w:hAnsi="Times New Roman" w:eastAsia="仿宋_GB2312" w:cs="Times New Roman"/>
          <w:color w:val="000000"/>
          <w:spacing w:val="-4"/>
          <w:sz w:val="32"/>
          <w:lang w:val="en-US" w:eastAsia="zh-CN"/>
        </w:rPr>
        <w:t>县财政局通过</w:t>
      </w:r>
      <w:r>
        <w:rPr>
          <w:rFonts w:hint="eastAsia" w:ascii="Times New Roman" w:hAnsi="Times New Roman" w:eastAsia="仿宋_GB2312" w:cs="Times New Roman"/>
          <w:spacing w:val="-4"/>
          <w:sz w:val="32"/>
          <w:szCs w:val="32"/>
          <w:lang w:val="en-US" w:eastAsia="zh-CN"/>
        </w:rPr>
        <w:t>大商务经合</w:t>
      </w:r>
      <w:r>
        <w:rPr>
          <w:rFonts w:hint="eastAsia" w:ascii="Times New Roman" w:hAnsi="Times New Roman" w:eastAsia="仿宋_GB2312" w:cs="Times New Roman"/>
          <w:spacing w:val="-4"/>
          <w:sz w:val="32"/>
          <w:szCs w:val="32"/>
        </w:rPr>
        <w:t>〔202</w:t>
      </w:r>
      <w:r>
        <w:rPr>
          <w:rFonts w:hint="eastAsia" w:eastAsia="仿宋_GB2312" w:cs="Times New Roman"/>
          <w:spacing w:val="-4"/>
          <w:sz w:val="32"/>
          <w:szCs w:val="32"/>
          <w:lang w:val="en-US" w:eastAsia="zh-CN"/>
        </w:rPr>
        <w:t>3</w:t>
      </w:r>
      <w:r>
        <w:rPr>
          <w:rFonts w:hint="eastAsia" w:ascii="Times New Roman" w:hAnsi="Times New Roman" w:eastAsia="仿宋_GB2312" w:cs="Times New Roman"/>
          <w:spacing w:val="-4"/>
          <w:sz w:val="32"/>
          <w:szCs w:val="32"/>
        </w:rPr>
        <w:t>〕</w:t>
      </w:r>
      <w:r>
        <w:rPr>
          <w:rFonts w:hint="eastAsia" w:eastAsia="仿宋_GB2312" w:cs="Times New Roman"/>
          <w:spacing w:val="-4"/>
          <w:sz w:val="32"/>
          <w:szCs w:val="32"/>
          <w:lang w:val="en-US" w:eastAsia="zh-CN"/>
        </w:rPr>
        <w:t>37</w:t>
      </w:r>
      <w:r>
        <w:rPr>
          <w:rFonts w:hint="eastAsia" w:ascii="Times New Roman" w:hAnsi="Times New Roman" w:eastAsia="仿宋_GB2312" w:cs="Times New Roman"/>
          <w:spacing w:val="-4"/>
          <w:sz w:val="32"/>
          <w:szCs w:val="32"/>
        </w:rPr>
        <w:t>号</w:t>
      </w:r>
      <w:r>
        <w:rPr>
          <w:rFonts w:hint="default" w:ascii="Times New Roman" w:hAnsi="Times New Roman" w:eastAsia="仿宋_GB2312" w:cs="Times New Roman"/>
          <w:color w:val="000000"/>
          <w:spacing w:val="-4"/>
          <w:sz w:val="32"/>
        </w:rPr>
        <w:t>申报资料进行审议，20</w:t>
      </w:r>
      <w:r>
        <w:rPr>
          <w:rFonts w:hint="default" w:ascii="Times New Roman" w:hAnsi="Times New Roman" w:eastAsia="仿宋_GB2312" w:cs="Times New Roman"/>
          <w:color w:val="000000"/>
          <w:spacing w:val="-4"/>
          <w:sz w:val="32"/>
          <w:lang w:val="en-US" w:eastAsia="zh-CN"/>
        </w:rPr>
        <w:t>2</w:t>
      </w:r>
      <w:r>
        <w:rPr>
          <w:rFonts w:hint="eastAsia" w:eastAsia="仿宋_GB2312" w:cs="Times New Roman"/>
          <w:color w:val="000000"/>
          <w:spacing w:val="-4"/>
          <w:sz w:val="32"/>
          <w:lang w:val="en-US" w:eastAsia="zh-CN"/>
        </w:rPr>
        <w:t>3</w:t>
      </w:r>
      <w:r>
        <w:rPr>
          <w:rFonts w:hint="default" w:ascii="Times New Roman" w:hAnsi="Times New Roman" w:eastAsia="仿宋_GB2312" w:cs="Times New Roman"/>
          <w:color w:val="000000"/>
          <w:spacing w:val="-4"/>
          <w:sz w:val="32"/>
          <w:lang w:val="en-US" w:eastAsia="zh-CN"/>
        </w:rPr>
        <w:t>年度</w:t>
      </w:r>
      <w:r>
        <w:rPr>
          <w:rFonts w:hint="eastAsia" w:ascii="仿宋_GB2312" w:hAnsi="仿宋_GB2312" w:eastAsia="仿宋_GB2312"/>
          <w:color w:val="000000"/>
          <w:spacing w:val="-4"/>
          <w:sz w:val="32"/>
          <w:lang w:val="en-US" w:eastAsia="zh-CN"/>
        </w:rPr>
        <w:t>兑现大英鑫业物流有限公司优惠政策项目</w:t>
      </w:r>
      <w:r>
        <w:rPr>
          <w:rFonts w:hint="default" w:ascii="Times New Roman" w:hAnsi="Times New Roman" w:eastAsia="仿宋_GB2312" w:cs="Times New Roman"/>
          <w:color w:val="000000"/>
          <w:spacing w:val="-4"/>
          <w:sz w:val="32"/>
        </w:rPr>
        <w:t>批复下达预算资金</w:t>
      </w:r>
      <w:r>
        <w:rPr>
          <w:rFonts w:hint="eastAsia" w:eastAsia="仿宋_GB2312" w:cs="Times New Roman"/>
          <w:color w:val="000000"/>
          <w:spacing w:val="-4"/>
          <w:sz w:val="32"/>
          <w:lang w:val="en-US" w:eastAsia="zh-CN"/>
        </w:rPr>
        <w:t>45.1</w:t>
      </w:r>
      <w:r>
        <w:rPr>
          <w:rFonts w:hint="default" w:ascii="Times New Roman" w:hAnsi="Times New Roman" w:eastAsia="仿宋_GB2312" w:cs="Times New Roman"/>
          <w:color w:val="000000"/>
          <w:spacing w:val="-4"/>
          <w:sz w:val="32"/>
        </w:rPr>
        <w:t>万元。</w:t>
      </w:r>
    </w:p>
    <w:p>
      <w:pPr>
        <w:keepNext w:val="0"/>
        <w:keepLines w:val="0"/>
        <w:pageBreakBefore w:val="0"/>
        <w:widowControl/>
        <w:kinsoku/>
        <w:wordWrap/>
        <w:overflowPunct/>
        <w:topLinePunct w:val="0"/>
        <w:autoSpaceDE/>
        <w:autoSpaceDN/>
        <w:bidi w:val="0"/>
        <w:adjustRightInd/>
        <w:spacing w:line="589" w:lineRule="exact"/>
        <w:ind w:firstLine="627" w:firstLineChars="200"/>
        <w:jc w:val="both"/>
        <w:rPr>
          <w:rFonts w:hint="default" w:ascii="Times New Roman" w:hAnsi="Times New Roman" w:eastAsia="楷体_GB2312" w:cs="Times New Roman"/>
          <w:b/>
          <w:spacing w:val="-4"/>
          <w:sz w:val="32"/>
        </w:rPr>
      </w:pPr>
      <w:r>
        <w:rPr>
          <w:rFonts w:hint="default" w:ascii="Times New Roman" w:hAnsi="Times New Roman" w:eastAsia="楷体_GB2312" w:cs="Times New Roman"/>
          <w:b/>
          <w:spacing w:val="-4"/>
          <w:sz w:val="32"/>
        </w:rPr>
        <w:t>（二）资金计划、到位及使用情况</w:t>
      </w:r>
    </w:p>
    <w:p>
      <w:pPr>
        <w:keepNext w:val="0"/>
        <w:keepLines w:val="0"/>
        <w:pageBreakBefore w:val="0"/>
        <w:widowControl/>
        <w:kinsoku/>
        <w:wordWrap/>
        <w:overflowPunct/>
        <w:topLinePunct w:val="0"/>
        <w:autoSpaceDE/>
        <w:autoSpaceDN/>
        <w:bidi w:val="0"/>
        <w:adjustRightInd/>
        <w:spacing w:line="589" w:lineRule="exact"/>
        <w:ind w:firstLine="627" w:firstLineChars="200"/>
        <w:jc w:val="both"/>
        <w:rPr>
          <w:rFonts w:hint="default" w:ascii="Times New Roman" w:hAnsi="Times New Roman" w:eastAsia="仿宋_GB2312" w:cs="Times New Roman"/>
          <w:spacing w:val="-4"/>
          <w:sz w:val="32"/>
        </w:rPr>
      </w:pPr>
      <w:r>
        <w:rPr>
          <w:rFonts w:hint="default" w:ascii="Times New Roman" w:hAnsi="Times New Roman" w:eastAsia="仿宋_GB2312" w:cs="Times New Roman"/>
          <w:b/>
          <w:spacing w:val="-4"/>
          <w:sz w:val="32"/>
        </w:rPr>
        <w:t>1</w:t>
      </w:r>
      <w:r>
        <w:rPr>
          <w:rFonts w:hint="default" w:ascii="Times New Roman" w:hAnsi="Times New Roman" w:eastAsia="仿宋_GB2312" w:cs="Times New Roman"/>
          <w:b/>
          <w:spacing w:val="-4"/>
          <w:sz w:val="32"/>
          <w:lang w:val="en-US" w:eastAsia="zh-CN"/>
        </w:rPr>
        <w:t>.</w:t>
      </w:r>
      <w:r>
        <w:rPr>
          <w:rFonts w:hint="default" w:ascii="Times New Roman" w:hAnsi="Times New Roman" w:eastAsia="仿宋_GB2312" w:cs="Times New Roman"/>
          <w:b/>
          <w:spacing w:val="-4"/>
          <w:sz w:val="32"/>
        </w:rPr>
        <w:t>资金计划</w:t>
      </w:r>
    </w:p>
    <w:tbl>
      <w:tblPr>
        <w:tblStyle w:val="12"/>
        <w:tblpPr w:leftFromText="180" w:rightFromText="180" w:vertAnchor="text" w:horzAnchor="page" w:tblpXSpec="center" w:tblpY="402"/>
        <w:tblOverlap w:val="never"/>
        <w:tblW w:w="8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3288"/>
        <w:gridCol w:w="1361"/>
        <w:gridCol w:w="1361"/>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项目名称</w:t>
            </w:r>
          </w:p>
        </w:tc>
        <w:tc>
          <w:tcPr>
            <w:tcW w:w="328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eastAsia="zh-CN"/>
              </w:rPr>
            </w:pPr>
            <w:r>
              <w:rPr>
                <w:rFonts w:hint="default" w:ascii="Times New Roman" w:hAnsi="Times New Roman" w:eastAsia="黑体" w:cs="Times New Roman"/>
                <w:color w:val="000000"/>
                <w:spacing w:val="-4"/>
                <w:kern w:val="0"/>
                <w:sz w:val="24"/>
                <w:szCs w:val="22"/>
              </w:rPr>
              <w:t>中央、省、市（州）、县（市、区）财政资金</w:t>
            </w:r>
            <w:r>
              <w:rPr>
                <w:rFonts w:hint="default" w:ascii="Times New Roman" w:hAnsi="Times New Roman" w:eastAsia="黑体" w:cs="Times New Roman"/>
                <w:color w:val="000000"/>
                <w:spacing w:val="-4"/>
                <w:kern w:val="0"/>
                <w:sz w:val="24"/>
                <w:szCs w:val="22"/>
                <w:lang w:eastAsia="zh-CN"/>
              </w:rPr>
              <w:t>（</w:t>
            </w:r>
            <w:r>
              <w:rPr>
                <w:rFonts w:hint="default" w:ascii="Times New Roman" w:hAnsi="Times New Roman" w:eastAsia="黑体" w:cs="Times New Roman"/>
                <w:color w:val="000000"/>
                <w:spacing w:val="-4"/>
                <w:kern w:val="0"/>
                <w:sz w:val="24"/>
                <w:szCs w:val="22"/>
                <w:lang w:val="en-US" w:eastAsia="zh-CN"/>
              </w:rPr>
              <w:t>万元</w:t>
            </w:r>
            <w:r>
              <w:rPr>
                <w:rFonts w:hint="default" w:ascii="Times New Roman" w:hAnsi="Times New Roman" w:eastAsia="黑体" w:cs="Times New Roman"/>
                <w:color w:val="000000"/>
                <w:spacing w:val="-4"/>
                <w:kern w:val="0"/>
                <w:sz w:val="24"/>
                <w:szCs w:val="22"/>
                <w:lang w:eastAsia="zh-CN"/>
              </w:rPr>
              <w:t>）</w:t>
            </w:r>
          </w:p>
        </w:tc>
        <w:tc>
          <w:tcPr>
            <w:tcW w:w="1361"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项目单位自筹</w:t>
            </w:r>
          </w:p>
        </w:tc>
        <w:tc>
          <w:tcPr>
            <w:tcW w:w="1361"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其他渠道资金</w:t>
            </w:r>
          </w:p>
        </w:tc>
        <w:tc>
          <w:tcPr>
            <w:tcW w:w="892"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rPr>
            </w:pPr>
            <w:r>
              <w:rPr>
                <w:rFonts w:hint="default" w:ascii="Times New Roman" w:hAnsi="Times New Roman" w:eastAsia="黑体" w:cs="Times New Roman"/>
                <w:color w:val="000000"/>
                <w:spacing w:val="-4"/>
                <w:kern w:val="0"/>
                <w:sz w:val="24"/>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兑现大英鑫业物流有限公司优惠政策项目</w:t>
            </w:r>
          </w:p>
        </w:tc>
        <w:tc>
          <w:tcPr>
            <w:tcW w:w="3288"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45.1</w:t>
            </w:r>
          </w:p>
        </w:tc>
        <w:tc>
          <w:tcPr>
            <w:tcW w:w="1361"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0</w:t>
            </w:r>
          </w:p>
        </w:tc>
        <w:tc>
          <w:tcPr>
            <w:tcW w:w="1361"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0</w:t>
            </w:r>
          </w:p>
        </w:tc>
        <w:tc>
          <w:tcPr>
            <w:tcW w:w="892"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both"/>
              <w:rPr>
                <w:rFonts w:hint="default" w:ascii="Times New Roman" w:hAnsi="Times New Roman" w:eastAsia="仿宋_GB2312" w:cs="Times New Roman"/>
                <w:color w:val="000000"/>
                <w:spacing w:val="-4"/>
                <w:kern w:val="0"/>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合计</w:t>
            </w:r>
          </w:p>
        </w:tc>
        <w:tc>
          <w:tcPr>
            <w:tcW w:w="3288"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45.1</w:t>
            </w:r>
          </w:p>
        </w:tc>
        <w:tc>
          <w:tcPr>
            <w:tcW w:w="1361"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0</w:t>
            </w:r>
          </w:p>
        </w:tc>
        <w:tc>
          <w:tcPr>
            <w:tcW w:w="1361"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0</w:t>
            </w:r>
          </w:p>
        </w:tc>
        <w:tc>
          <w:tcPr>
            <w:tcW w:w="892"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both"/>
              <w:rPr>
                <w:rFonts w:hint="default" w:ascii="Times New Roman" w:hAnsi="Times New Roman" w:eastAsia="仿宋_GB2312" w:cs="Times New Roman"/>
                <w:color w:val="000000"/>
                <w:spacing w:val="-4"/>
                <w:kern w:val="0"/>
                <w:sz w:val="24"/>
                <w:szCs w:val="22"/>
                <w:lang w:val="en-US" w:eastAsia="zh-CN" w:bidi="ar-SA"/>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89" w:lineRule="exact"/>
        <w:ind w:left="0" w:leftChars="0" w:right="0" w:rightChars="0" w:firstLine="627" w:firstLineChars="200"/>
        <w:jc w:val="both"/>
        <w:textAlignment w:val="auto"/>
        <w:outlineLvl w:val="9"/>
        <w:rPr>
          <w:rFonts w:hint="default" w:ascii="Times New Roman" w:hAnsi="Times New Roman" w:eastAsia="仿宋_GB2312" w:cs="Times New Roman"/>
          <w:spacing w:val="-4"/>
          <w:sz w:val="32"/>
          <w:highlight w:val="yellow"/>
        </w:rPr>
      </w:pPr>
      <w:r>
        <w:rPr>
          <w:rFonts w:hint="default" w:ascii="Times New Roman" w:hAnsi="Times New Roman" w:eastAsia="仿宋_GB2312" w:cs="Times New Roman"/>
          <w:b/>
          <w:spacing w:val="-4"/>
          <w:sz w:val="32"/>
        </w:rPr>
        <w:t>2.资金到位</w:t>
      </w:r>
    </w:p>
    <w:tbl>
      <w:tblPr>
        <w:tblStyle w:val="12"/>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2665"/>
        <w:gridCol w:w="1587"/>
        <w:gridCol w:w="1575"/>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项目名称</w:t>
            </w:r>
          </w:p>
        </w:tc>
        <w:tc>
          <w:tcPr>
            <w:tcW w:w="266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中央、省、市（州）、县级财政资金（万元）</w:t>
            </w:r>
          </w:p>
        </w:tc>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资金计划（万元）</w:t>
            </w:r>
          </w:p>
        </w:tc>
        <w:tc>
          <w:tcPr>
            <w:tcW w:w="157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资金到位</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情况</w:t>
            </w:r>
          </w:p>
        </w:tc>
        <w:tc>
          <w:tcPr>
            <w:tcW w:w="98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兑现大英鑫业物流有限公司优惠政策项目</w:t>
            </w:r>
          </w:p>
        </w:tc>
        <w:tc>
          <w:tcPr>
            <w:tcW w:w="266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45.1</w:t>
            </w:r>
          </w:p>
        </w:tc>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45.1</w:t>
            </w:r>
          </w:p>
        </w:tc>
        <w:tc>
          <w:tcPr>
            <w:tcW w:w="157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资金到位率100%</w:t>
            </w:r>
          </w:p>
        </w:tc>
        <w:tc>
          <w:tcPr>
            <w:tcW w:w="986"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both"/>
              <w:rPr>
                <w:rFonts w:hint="default" w:ascii="Times New Roman" w:hAnsi="Times New Roman" w:eastAsia="仿宋_GB2312" w:cs="Times New Roman"/>
                <w:color w:val="000000"/>
                <w:spacing w:val="-4"/>
                <w:kern w:val="0"/>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合计</w:t>
            </w:r>
          </w:p>
        </w:tc>
        <w:tc>
          <w:tcPr>
            <w:tcW w:w="266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45.1</w:t>
            </w:r>
          </w:p>
        </w:tc>
        <w:tc>
          <w:tcPr>
            <w:tcW w:w="158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45.1</w:t>
            </w:r>
          </w:p>
        </w:tc>
        <w:tc>
          <w:tcPr>
            <w:tcW w:w="157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100%</w:t>
            </w:r>
          </w:p>
        </w:tc>
        <w:tc>
          <w:tcPr>
            <w:tcW w:w="986"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both"/>
              <w:rPr>
                <w:rFonts w:hint="default" w:ascii="Times New Roman" w:hAnsi="Times New Roman" w:eastAsia="仿宋_GB2312" w:cs="Times New Roman"/>
                <w:color w:val="000000"/>
                <w:spacing w:val="-4"/>
                <w:kern w:val="0"/>
                <w:sz w:val="24"/>
                <w:szCs w:val="22"/>
                <w:lang w:val="en-US" w:eastAsia="zh-CN" w:bidi="ar-SA"/>
              </w:rPr>
            </w:pPr>
          </w:p>
        </w:tc>
      </w:tr>
    </w:tbl>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after="157" w:afterLines="50" w:line="589" w:lineRule="exact"/>
        <w:ind w:firstLine="627" w:firstLineChars="200"/>
        <w:jc w:val="both"/>
        <w:textAlignment w:val="baseline"/>
        <w:rPr>
          <w:rFonts w:hint="default" w:ascii="Times New Roman" w:hAnsi="Times New Roman" w:eastAsia="仿宋_GB2312" w:cs="Times New Roman"/>
          <w:color w:val="000000"/>
          <w:spacing w:val="-4"/>
          <w:sz w:val="32"/>
          <w:highlight w:val="yellow"/>
        </w:rPr>
      </w:pPr>
      <w:r>
        <w:rPr>
          <w:rFonts w:hint="default" w:ascii="Times New Roman" w:hAnsi="Times New Roman" w:eastAsia="仿宋_GB2312" w:cs="Times New Roman"/>
          <w:b/>
          <w:color w:val="000000"/>
          <w:spacing w:val="-4"/>
          <w:sz w:val="32"/>
        </w:rPr>
        <w:t>3.资金使用</w:t>
      </w:r>
    </w:p>
    <w:tbl>
      <w:tblPr>
        <w:tblStyle w:val="12"/>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429"/>
        <w:gridCol w:w="964"/>
        <w:gridCol w:w="964"/>
        <w:gridCol w:w="964"/>
        <w:gridCol w:w="764"/>
        <w:gridCol w:w="849"/>
        <w:gridCol w:w="1191"/>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项目</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名称</w:t>
            </w:r>
          </w:p>
        </w:tc>
        <w:tc>
          <w:tcPr>
            <w:tcW w:w="142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2"/>
                <w:szCs w:val="21"/>
                <w:lang w:val="en-US" w:eastAsia="zh-CN"/>
              </w:rPr>
              <w:t>县统计资金支出情况</w:t>
            </w:r>
          </w:p>
        </w:tc>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支付安全性</w:t>
            </w:r>
          </w:p>
        </w:tc>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支付规范性</w:t>
            </w:r>
          </w:p>
        </w:tc>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支付有效性</w:t>
            </w:r>
          </w:p>
        </w:tc>
        <w:tc>
          <w:tcPr>
            <w:tcW w:w="7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支付标准</w:t>
            </w:r>
          </w:p>
        </w:tc>
        <w:tc>
          <w:tcPr>
            <w:tcW w:w="84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支付进度</w:t>
            </w:r>
          </w:p>
        </w:tc>
        <w:tc>
          <w:tcPr>
            <w:tcW w:w="1191"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4"/>
                <w:szCs w:val="22"/>
                <w:lang w:val="en-US" w:eastAsia="zh-CN"/>
              </w:rPr>
              <w:t>支付依据</w:t>
            </w:r>
          </w:p>
        </w:tc>
        <w:tc>
          <w:tcPr>
            <w:tcW w:w="118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spacing w:val="-4"/>
                <w:kern w:val="0"/>
                <w:sz w:val="24"/>
                <w:szCs w:val="22"/>
                <w:lang w:val="en-US" w:eastAsia="zh-CN"/>
              </w:rPr>
            </w:pPr>
            <w:r>
              <w:rPr>
                <w:rFonts w:hint="default" w:ascii="Times New Roman" w:hAnsi="Times New Roman" w:eastAsia="黑体" w:cs="Times New Roman"/>
                <w:color w:val="000000"/>
                <w:spacing w:val="-4"/>
                <w:kern w:val="0"/>
                <w:sz w:val="22"/>
                <w:szCs w:val="21"/>
                <w:lang w:val="en-US" w:eastAsia="zh-CN"/>
              </w:rPr>
              <w:t>是否与预算相符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both"/>
              <w:rPr>
                <w:rFonts w:hint="default" w:ascii="Times New Roman" w:hAnsi="Times New Roman" w:eastAsia="仿宋_GB2312" w:cs="Times New Roman"/>
                <w:color w:val="000000"/>
                <w:spacing w:val="-4"/>
                <w:kern w:val="0"/>
                <w:sz w:val="24"/>
                <w:szCs w:val="22"/>
                <w:lang w:val="en-US" w:eastAsia="zh-CN" w:bidi="ar-SA"/>
              </w:rPr>
            </w:pPr>
            <w:r>
              <w:rPr>
                <w:rFonts w:hint="eastAsia" w:eastAsia="仿宋_GB2312" w:cs="Times New Roman"/>
                <w:color w:val="000000"/>
                <w:spacing w:val="-4"/>
                <w:kern w:val="0"/>
                <w:sz w:val="24"/>
                <w:szCs w:val="22"/>
                <w:lang w:val="en-US" w:eastAsia="zh-CN" w:bidi="ar-SA"/>
              </w:rPr>
              <w:t>兑现大英鑫业物流有限公司优惠政策项目</w:t>
            </w:r>
          </w:p>
        </w:tc>
        <w:tc>
          <w:tcPr>
            <w:tcW w:w="142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left"/>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已于202</w:t>
            </w:r>
            <w:r>
              <w:rPr>
                <w:rFonts w:hint="eastAsia" w:ascii="Times New Roman" w:hAnsi="Times New Roman" w:eastAsia="仿宋_GB2312" w:cs="Times New Roman"/>
                <w:color w:val="000000"/>
                <w:spacing w:val="-4"/>
                <w:kern w:val="0"/>
                <w:sz w:val="24"/>
                <w:szCs w:val="22"/>
                <w:lang w:val="en-US" w:eastAsia="zh-CN" w:bidi="ar-SA"/>
              </w:rPr>
              <w:t>3</w:t>
            </w:r>
            <w:r>
              <w:rPr>
                <w:rFonts w:hint="default" w:ascii="Times New Roman" w:hAnsi="Times New Roman" w:eastAsia="仿宋_GB2312" w:cs="Times New Roman"/>
                <w:color w:val="000000"/>
                <w:spacing w:val="-4"/>
                <w:kern w:val="0"/>
                <w:sz w:val="24"/>
                <w:szCs w:val="22"/>
                <w:lang w:val="en-US" w:eastAsia="zh-CN" w:bidi="ar-SA"/>
              </w:rPr>
              <w:t>年12月31日支付完毕</w:t>
            </w:r>
          </w:p>
        </w:tc>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安全</w:t>
            </w:r>
          </w:p>
        </w:tc>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规范</w:t>
            </w:r>
          </w:p>
        </w:tc>
        <w:tc>
          <w:tcPr>
            <w:tcW w:w="96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有效</w:t>
            </w:r>
          </w:p>
        </w:tc>
        <w:tc>
          <w:tcPr>
            <w:tcW w:w="764"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符合标准</w:t>
            </w:r>
          </w:p>
        </w:tc>
        <w:tc>
          <w:tcPr>
            <w:tcW w:w="8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both"/>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100%</w:t>
            </w:r>
          </w:p>
        </w:tc>
        <w:tc>
          <w:tcPr>
            <w:tcW w:w="1191"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left"/>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票据齐全</w:t>
            </w:r>
          </w:p>
        </w:tc>
        <w:tc>
          <w:tcPr>
            <w:tcW w:w="1188"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line="0" w:lineRule="atLeast"/>
              <w:ind w:firstLine="0"/>
              <w:jc w:val="center"/>
              <w:rPr>
                <w:rFonts w:hint="default" w:ascii="Times New Roman" w:hAnsi="Times New Roman" w:eastAsia="仿宋_GB2312" w:cs="Times New Roman"/>
                <w:color w:val="000000"/>
                <w:spacing w:val="-4"/>
                <w:kern w:val="0"/>
                <w:sz w:val="24"/>
                <w:szCs w:val="22"/>
                <w:lang w:val="en-US" w:eastAsia="zh-CN" w:bidi="ar-SA"/>
              </w:rPr>
            </w:pPr>
            <w:r>
              <w:rPr>
                <w:rFonts w:hint="default" w:ascii="Times New Roman" w:hAnsi="Times New Roman" w:eastAsia="仿宋_GB2312" w:cs="Times New Roman"/>
                <w:color w:val="000000"/>
                <w:spacing w:val="-4"/>
                <w:kern w:val="0"/>
                <w:sz w:val="24"/>
                <w:szCs w:val="22"/>
                <w:lang w:val="en-US" w:eastAsia="zh-CN" w:bidi="ar-SA"/>
              </w:rPr>
              <w:t>符合</w:t>
            </w:r>
          </w:p>
        </w:tc>
      </w:tr>
    </w:tbl>
    <w:p>
      <w:pPr>
        <w:keepNext w:val="0"/>
        <w:keepLines w:val="0"/>
        <w:pageBreakBefore w:val="0"/>
        <w:widowControl/>
        <w:kinsoku/>
        <w:wordWrap/>
        <w:overflowPunct/>
        <w:topLinePunct w:val="0"/>
        <w:autoSpaceDE/>
        <w:autoSpaceDN/>
        <w:bidi w:val="0"/>
        <w:adjustRightInd/>
        <w:snapToGrid/>
        <w:spacing w:before="157" w:beforeLines="50" w:line="590" w:lineRule="exact"/>
        <w:ind w:firstLine="627" w:firstLineChars="200"/>
        <w:jc w:val="both"/>
        <w:textAlignment w:val="baseline"/>
        <w:rPr>
          <w:rFonts w:hint="default" w:ascii="Times New Roman" w:hAnsi="Times New Roman" w:eastAsia="楷体_GB2312" w:cs="Times New Roman"/>
          <w:b/>
          <w:spacing w:val="-4"/>
          <w:sz w:val="32"/>
        </w:rPr>
      </w:pPr>
      <w:r>
        <w:rPr>
          <w:rFonts w:hint="default" w:ascii="Times New Roman" w:hAnsi="Times New Roman" w:eastAsia="楷体_GB2312" w:cs="Times New Roman"/>
          <w:b/>
          <w:spacing w:val="-4"/>
          <w:sz w:val="32"/>
        </w:rPr>
        <w:t>（三）项目财务管理情况</w:t>
      </w:r>
    </w:p>
    <w:p>
      <w:pPr>
        <w:keepNext w:val="0"/>
        <w:keepLines w:val="0"/>
        <w:pageBreakBefore w:val="0"/>
        <w:widowControl w:val="0"/>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仿宋_GB2312" w:cs="Times New Roman"/>
          <w:spacing w:val="-4"/>
          <w:sz w:val="32"/>
        </w:rPr>
      </w:pPr>
      <w:r>
        <w:rPr>
          <w:rFonts w:hint="default" w:ascii="Times New Roman" w:hAnsi="Times New Roman" w:eastAsia="仿宋_GB2312" w:cs="Times New Roman"/>
          <w:spacing w:val="-4"/>
          <w:sz w:val="32"/>
        </w:rPr>
        <w:t>大英县商务和经济合作局财务管理制度健全，</w:t>
      </w:r>
      <w:r>
        <w:rPr>
          <w:rFonts w:hint="default" w:ascii="Times New Roman" w:hAnsi="Times New Roman" w:eastAsia="仿宋_GB2312" w:cs="Times New Roman"/>
          <w:spacing w:val="-4"/>
          <w:sz w:val="32"/>
          <w:lang w:val="en-US" w:eastAsia="zh-CN"/>
        </w:rPr>
        <w:t>为保障项目资金安全，确保资金专款专用，我局从资金申请</w:t>
      </w:r>
      <w:r>
        <w:rPr>
          <w:rFonts w:hint="default" w:ascii="Times New Roman" w:hAnsi="Times New Roman" w:eastAsia="仿宋_GB2312" w:cs="Times New Roman"/>
          <w:spacing w:val="-4"/>
          <w:sz w:val="32"/>
          <w:lang w:eastAsia="zh-CN"/>
        </w:rPr>
        <w:t>、</w:t>
      </w:r>
      <w:r>
        <w:rPr>
          <w:rFonts w:hint="default" w:ascii="Times New Roman" w:hAnsi="Times New Roman" w:eastAsia="仿宋_GB2312" w:cs="Times New Roman"/>
          <w:spacing w:val="-4"/>
          <w:sz w:val="32"/>
          <w:lang w:val="en-US" w:eastAsia="zh-CN"/>
        </w:rPr>
        <w:t>资金使用、会计核算三个环节加强资金管理。在项目资金申请环节，严格按照国库集中支付流程向县财政局申请财政资金；在资金使用环节，严格遵守县本级财政资金支持审批管理办法规定，严格按照我局资金财务审批流程办理款项支付。在会计核算环节，对本项目资金实行单独核算，确保专款专用。通过上述三个环节的管理，极力避免挪用、挤占、截留项目资金的现象，保证财政资金安全有效使用</w:t>
      </w:r>
      <w:r>
        <w:rPr>
          <w:rFonts w:hint="default" w:ascii="Times New Roman" w:hAnsi="Times New Roman" w:eastAsia="仿宋_GB2312" w:cs="Times New Roman"/>
          <w:color w:val="333333"/>
          <w:spacing w:val="-4"/>
          <w:sz w:val="32"/>
          <w:shd w:val="clear" w:color="auto" w:fill="FFFFFF"/>
        </w:rPr>
        <w:t>。</w:t>
      </w:r>
    </w:p>
    <w:p>
      <w:pPr>
        <w:keepNext w:val="0"/>
        <w:keepLines w:val="0"/>
        <w:pageBreakBefore w:val="0"/>
        <w:widowControl/>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黑体" w:cs="Times New Roman"/>
          <w:spacing w:val="-4"/>
          <w:sz w:val="32"/>
        </w:rPr>
      </w:pPr>
      <w:r>
        <w:rPr>
          <w:rFonts w:hint="default" w:ascii="Times New Roman" w:hAnsi="Times New Roman" w:eastAsia="黑体" w:cs="Times New Roman"/>
          <w:spacing w:val="-4"/>
          <w:sz w:val="32"/>
        </w:rPr>
        <w:t>三、项目实施及管理情况</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仿宋_GB2312" w:cs="Times New Roman"/>
          <w:b/>
          <w:spacing w:val="-4"/>
          <w:sz w:val="32"/>
        </w:rPr>
      </w:pPr>
      <w:r>
        <w:rPr>
          <w:rFonts w:hint="default" w:ascii="Times New Roman" w:hAnsi="Times New Roman" w:eastAsia="楷体_GB2312" w:cs="Times New Roman"/>
          <w:b/>
          <w:spacing w:val="-4"/>
          <w:sz w:val="32"/>
        </w:rPr>
        <w:t>（一）项目组织架构及实施流程</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0" w:lineRule="exact"/>
        <w:ind w:left="0" w:firstLine="627" w:firstLineChars="200"/>
        <w:jc w:val="left"/>
        <w:textAlignment w:val="baseline"/>
        <w:rPr>
          <w:rFonts w:hint="default" w:ascii="Times New Roman" w:hAnsi="Times New Roman" w:eastAsia="仿宋_GB2312" w:cs="Times New Roman"/>
          <w:spacing w:val="-4"/>
          <w:kern w:val="2"/>
          <w:sz w:val="32"/>
          <w:szCs w:val="24"/>
          <w:lang w:val="en-US" w:eastAsia="zh-CN" w:bidi="ar-SA"/>
        </w:rPr>
      </w:pPr>
      <w:r>
        <w:rPr>
          <w:rFonts w:hint="eastAsia" w:ascii="Times New Roman" w:hAnsi="Times New Roman" w:eastAsia="仿宋_GB2312" w:cs="Times New Roman"/>
          <w:b/>
          <w:bCs/>
          <w:spacing w:val="-4"/>
          <w:kern w:val="2"/>
          <w:sz w:val="32"/>
          <w:szCs w:val="24"/>
          <w:lang w:val="en-US" w:eastAsia="zh-CN" w:bidi="ar-SA"/>
        </w:rPr>
        <w:t>一</w:t>
      </w:r>
      <w:r>
        <w:rPr>
          <w:rFonts w:hint="default" w:ascii="Times New Roman" w:hAnsi="Times New Roman" w:eastAsia="仿宋_GB2312" w:cs="Times New Roman"/>
          <w:b/>
          <w:bCs/>
          <w:spacing w:val="-4"/>
          <w:kern w:val="2"/>
          <w:sz w:val="32"/>
          <w:szCs w:val="24"/>
          <w:lang w:val="en-US" w:eastAsia="zh-CN" w:bidi="ar-SA"/>
        </w:rPr>
        <w:t>是</w:t>
      </w:r>
      <w:r>
        <w:rPr>
          <w:rFonts w:hint="eastAsia" w:eastAsia="仿宋_GB2312" w:cs="Times New Roman"/>
          <w:spacing w:val="-4"/>
          <w:kern w:val="2"/>
          <w:sz w:val="32"/>
          <w:szCs w:val="24"/>
          <w:lang w:val="en-US" w:eastAsia="zh-CN" w:bidi="ar-SA"/>
        </w:rPr>
        <w:t>助企纾困优化营商环境</w:t>
      </w:r>
      <w:r>
        <w:rPr>
          <w:rFonts w:hint="default" w:ascii="Times New Roman" w:hAnsi="Times New Roman" w:eastAsia="仿宋_GB2312" w:cs="Times New Roman"/>
          <w:spacing w:val="-4"/>
          <w:kern w:val="2"/>
          <w:sz w:val="32"/>
          <w:szCs w:val="24"/>
          <w:lang w:val="en-US" w:eastAsia="zh-CN" w:bidi="ar-SA"/>
        </w:rPr>
        <w:t>。</w:t>
      </w:r>
      <w:r>
        <w:rPr>
          <w:rFonts w:hint="eastAsia" w:ascii="Times New Roman" w:hAnsi="Times New Roman" w:eastAsia="仿宋_GB2312" w:cs="Times New Roman"/>
          <w:b/>
          <w:bCs/>
          <w:spacing w:val="-4"/>
          <w:kern w:val="2"/>
          <w:sz w:val="32"/>
          <w:szCs w:val="24"/>
          <w:lang w:val="en-US" w:eastAsia="zh-CN" w:bidi="ar-SA"/>
        </w:rPr>
        <w:t>二</w:t>
      </w:r>
      <w:r>
        <w:rPr>
          <w:rFonts w:hint="default" w:ascii="Times New Roman" w:hAnsi="Times New Roman" w:eastAsia="仿宋_GB2312" w:cs="Times New Roman"/>
          <w:b/>
          <w:bCs/>
          <w:spacing w:val="-4"/>
          <w:kern w:val="2"/>
          <w:sz w:val="32"/>
          <w:szCs w:val="24"/>
          <w:lang w:val="en-US" w:eastAsia="zh-CN" w:bidi="ar-SA"/>
        </w:rPr>
        <w:t>是</w:t>
      </w:r>
      <w:r>
        <w:rPr>
          <w:rFonts w:hint="eastAsia" w:eastAsia="仿宋_GB2312" w:cs="Times New Roman"/>
          <w:spacing w:val="-4"/>
          <w:kern w:val="2"/>
          <w:sz w:val="32"/>
          <w:szCs w:val="24"/>
          <w:lang w:val="en-US" w:eastAsia="zh-CN" w:bidi="ar-SA"/>
        </w:rPr>
        <w:t>推动传统行业转型升级。</w:t>
      </w:r>
      <w:r>
        <w:rPr>
          <w:rFonts w:hint="eastAsia" w:ascii="Times New Roman" w:hAnsi="Times New Roman" w:eastAsia="仿宋_GB2312" w:cs="Times New Roman"/>
          <w:b/>
          <w:bCs/>
          <w:spacing w:val="-4"/>
          <w:kern w:val="2"/>
          <w:sz w:val="32"/>
          <w:szCs w:val="24"/>
          <w:lang w:val="en-US" w:eastAsia="zh-CN" w:bidi="ar-SA"/>
        </w:rPr>
        <w:t>三是</w:t>
      </w:r>
      <w:r>
        <w:rPr>
          <w:rFonts w:hint="eastAsia" w:eastAsia="仿宋_GB2312" w:cs="Times New Roman"/>
          <w:spacing w:val="-4"/>
          <w:kern w:val="2"/>
          <w:sz w:val="32"/>
          <w:szCs w:val="24"/>
          <w:lang w:val="en-US" w:eastAsia="zh-CN" w:bidi="ar-SA"/>
        </w:rPr>
        <w:t>培育壮大龙头企业。</w:t>
      </w:r>
      <w:r>
        <w:rPr>
          <w:rFonts w:hint="eastAsia" w:ascii="Times New Roman" w:hAnsi="Times New Roman" w:eastAsia="仿宋_GB2312" w:cs="Times New Roman"/>
          <w:b/>
          <w:bCs/>
          <w:spacing w:val="-4"/>
          <w:kern w:val="2"/>
          <w:sz w:val="32"/>
          <w:szCs w:val="24"/>
          <w:lang w:val="en-US" w:eastAsia="zh-CN" w:bidi="ar-SA"/>
        </w:rPr>
        <w:t>四是</w:t>
      </w:r>
      <w:r>
        <w:rPr>
          <w:rFonts w:hint="eastAsia" w:eastAsia="仿宋_GB2312" w:cs="Times New Roman"/>
          <w:spacing w:val="-4"/>
          <w:kern w:val="2"/>
          <w:sz w:val="32"/>
          <w:szCs w:val="24"/>
          <w:lang w:val="en-US" w:eastAsia="zh-CN" w:bidi="ar-SA"/>
        </w:rPr>
        <w:t>履行合同义务。</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楷体_GB2312" w:cs="Times New Roman"/>
          <w:b/>
          <w:spacing w:val="-4"/>
          <w:sz w:val="32"/>
        </w:rPr>
      </w:pPr>
      <w:r>
        <w:rPr>
          <w:rFonts w:hint="default" w:ascii="Times New Roman" w:hAnsi="Times New Roman" w:eastAsia="楷体_GB2312" w:cs="Times New Roman"/>
          <w:b/>
          <w:spacing w:val="-4"/>
          <w:sz w:val="32"/>
        </w:rPr>
        <w:t>（二）项目管理情况</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仿宋_GB2312" w:cs="Times New Roman"/>
          <w:spacing w:val="-4"/>
          <w:sz w:val="32"/>
        </w:rPr>
      </w:pPr>
      <w:r>
        <w:rPr>
          <w:rFonts w:hint="default" w:ascii="Times New Roman" w:hAnsi="Times New Roman" w:eastAsia="仿宋_GB2312" w:cs="Times New Roman"/>
          <w:spacing w:val="-4"/>
          <w:sz w:val="32"/>
        </w:rPr>
        <w:t>大英县商务和经济合作局严格执行相关法律法规及项目管理制度。</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楷体_GB2312" w:cs="Times New Roman"/>
          <w:b/>
          <w:spacing w:val="-4"/>
          <w:sz w:val="32"/>
        </w:rPr>
      </w:pPr>
      <w:r>
        <w:rPr>
          <w:rFonts w:hint="default" w:ascii="Times New Roman" w:hAnsi="Times New Roman" w:eastAsia="楷体_GB2312" w:cs="Times New Roman"/>
          <w:b/>
          <w:spacing w:val="-4"/>
          <w:sz w:val="32"/>
        </w:rPr>
        <w:t>（三）项目监管情况</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仿宋_GB2312" w:cs="Times New Roman"/>
          <w:spacing w:val="-4"/>
          <w:sz w:val="32"/>
          <w:lang w:val="en-US" w:eastAsia="zh-CN"/>
        </w:rPr>
      </w:pPr>
      <w:r>
        <w:rPr>
          <w:rFonts w:hint="default" w:ascii="Times New Roman" w:hAnsi="Times New Roman" w:eastAsia="仿宋_GB2312" w:cs="Times New Roman"/>
          <w:spacing w:val="-4"/>
          <w:sz w:val="32"/>
          <w:lang w:val="en-US" w:eastAsia="zh-CN"/>
        </w:rPr>
        <w:t>为规范</w:t>
      </w:r>
      <w:r>
        <w:rPr>
          <w:rFonts w:hint="default" w:ascii="Times New Roman" w:hAnsi="Times New Roman" w:eastAsia="仿宋_GB2312" w:cs="Times New Roman"/>
          <w:spacing w:val="-4"/>
          <w:sz w:val="32"/>
        </w:rPr>
        <w:t>大英县商务和经济合作局的</w:t>
      </w:r>
      <w:r>
        <w:rPr>
          <w:rFonts w:hint="eastAsia" w:ascii="Times New Roman" w:hAnsi="Times New Roman" w:eastAsia="仿宋_GB2312" w:cs="Times New Roman"/>
          <w:spacing w:val="-4"/>
          <w:sz w:val="32"/>
          <w:lang w:val="en-US" w:eastAsia="zh-CN"/>
        </w:rPr>
        <w:t>招商引资优惠政策兑现</w:t>
      </w:r>
      <w:r>
        <w:rPr>
          <w:rFonts w:hint="default" w:ascii="Times New Roman" w:hAnsi="Times New Roman" w:eastAsia="仿宋_GB2312" w:cs="Times New Roman"/>
          <w:spacing w:val="-4"/>
          <w:sz w:val="32"/>
          <w:lang w:val="en-US" w:eastAsia="zh-CN"/>
        </w:rPr>
        <w:t>，提高专项资金使用效益，根据有关文件要求，推动我县国内贸易健康快速发展，结合我县实际，形成了以县政府主导、商务经合局负责、多部门参与的协同促进发展</w:t>
      </w:r>
      <w:r>
        <w:rPr>
          <w:rFonts w:hint="eastAsia" w:ascii="Times New Roman" w:hAnsi="Times New Roman" w:eastAsia="仿宋_GB2312" w:cs="Times New Roman"/>
          <w:spacing w:val="-4"/>
          <w:sz w:val="32"/>
          <w:lang w:val="en-US" w:eastAsia="zh-CN"/>
        </w:rPr>
        <w:t>招商引资优惠政策兑现</w:t>
      </w:r>
      <w:r>
        <w:rPr>
          <w:rFonts w:hint="default" w:ascii="Times New Roman" w:hAnsi="Times New Roman" w:eastAsia="仿宋_GB2312" w:cs="Times New Roman"/>
          <w:spacing w:val="-4"/>
          <w:sz w:val="32"/>
          <w:lang w:val="en-US" w:eastAsia="zh-CN"/>
        </w:rPr>
        <w:t>的工作机制。</w:t>
      </w:r>
    </w:p>
    <w:p>
      <w:pPr>
        <w:keepNext w:val="0"/>
        <w:keepLines w:val="0"/>
        <w:pageBreakBefore w:val="0"/>
        <w:widowControl/>
        <w:tabs>
          <w:tab w:val="left" w:pos="227"/>
        </w:tabs>
        <w:kinsoku/>
        <w:wordWrap/>
        <w:overflowPunct/>
        <w:topLinePunct w:val="0"/>
        <w:autoSpaceDE/>
        <w:autoSpaceDN/>
        <w:bidi w:val="0"/>
        <w:adjustRightInd w:val="0"/>
        <w:snapToGrid w:val="0"/>
        <w:spacing w:line="590" w:lineRule="exact"/>
        <w:ind w:left="0" w:right="0" w:firstLine="624" w:firstLineChars="200"/>
        <w:jc w:val="both"/>
        <w:textAlignment w:val="baseline"/>
        <w:rPr>
          <w:rFonts w:hint="eastAsia" w:ascii="黑体" w:hAnsi="黑体" w:eastAsia="黑体"/>
          <w:spacing w:val="-4"/>
          <w:sz w:val="32"/>
        </w:rPr>
      </w:pPr>
      <w:r>
        <w:rPr>
          <w:rFonts w:hint="eastAsia" w:ascii="黑体" w:hAnsi="黑体" w:eastAsia="黑体"/>
          <w:spacing w:val="-4"/>
          <w:sz w:val="32"/>
        </w:rPr>
        <w:t>四、项目绩效情况</w:t>
      </w:r>
    </w:p>
    <w:p>
      <w:pPr>
        <w:keepNext w:val="0"/>
        <w:keepLines w:val="0"/>
        <w:pageBreakBefore w:val="0"/>
        <w:widowControl/>
        <w:kinsoku/>
        <w:wordWrap/>
        <w:overflowPunct/>
        <w:topLinePunct w:val="0"/>
        <w:autoSpaceDE/>
        <w:autoSpaceDN/>
        <w:bidi w:val="0"/>
        <w:adjustRightInd w:val="0"/>
        <w:snapToGrid w:val="0"/>
        <w:spacing w:after="157" w:afterLines="50" w:line="590" w:lineRule="exact"/>
        <w:ind w:left="0" w:right="0" w:firstLine="627" w:firstLineChars="200"/>
        <w:jc w:val="both"/>
        <w:textAlignment w:val="baseline"/>
        <w:rPr>
          <w:rFonts w:hint="eastAsia"/>
        </w:rPr>
      </w:pPr>
      <w:r>
        <w:rPr>
          <w:rFonts w:hint="eastAsia" w:ascii="楷体_GB2312" w:hAnsi="楷体_GB2312" w:eastAsia="楷体_GB2312"/>
          <w:b/>
          <w:spacing w:val="-4"/>
          <w:sz w:val="32"/>
        </w:rPr>
        <w:t>（一）项目完成情况</w:t>
      </w:r>
    </w:p>
    <w:tbl>
      <w:tblPr>
        <w:tblStyle w:val="12"/>
        <w:tblW w:w="889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
        <w:gridCol w:w="1209"/>
        <w:gridCol w:w="1273"/>
        <w:gridCol w:w="1980"/>
        <w:gridCol w:w="1701"/>
        <w:gridCol w:w="17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0" w:hRule="atLeast"/>
          <w:jc w:val="center"/>
        </w:trPr>
        <w:tc>
          <w:tcPr>
            <w:tcW w:w="974" w:type="dxa"/>
            <w:vMerge w:val="restart"/>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textAlignment w:val="center"/>
              <w:rPr>
                <w:rFonts w:hint="eastAsia" w:ascii="仿宋_GB2312" w:hAnsi="仿宋_GB2312" w:eastAsia="仿宋_GB2312"/>
                <w:color w:val="000000"/>
                <w:spacing w:val="-4"/>
                <w:sz w:val="22"/>
                <w:szCs w:val="22"/>
              </w:rPr>
            </w:pPr>
            <w:r>
              <w:rPr>
                <w:rFonts w:hint="eastAsia" w:ascii="黑体" w:hAnsi="黑体" w:eastAsia="黑体"/>
                <w:color w:val="000000"/>
                <w:spacing w:val="-4"/>
                <w:kern w:val="0"/>
                <w:sz w:val="24"/>
                <w:szCs w:val="22"/>
              </w:rPr>
              <w:t>绩效指标</w:t>
            </w:r>
          </w:p>
        </w:tc>
        <w:tc>
          <w:tcPr>
            <w:tcW w:w="1209"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一级指标</w:t>
            </w:r>
          </w:p>
        </w:tc>
        <w:tc>
          <w:tcPr>
            <w:tcW w:w="1273"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二级指标</w:t>
            </w:r>
          </w:p>
        </w:tc>
        <w:tc>
          <w:tcPr>
            <w:tcW w:w="198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三级指标</w:t>
            </w:r>
          </w:p>
        </w:tc>
        <w:tc>
          <w:tcPr>
            <w:tcW w:w="170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指标值</w:t>
            </w:r>
          </w:p>
        </w:tc>
        <w:tc>
          <w:tcPr>
            <w:tcW w:w="1757"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kern w:val="0"/>
                <w:sz w:val="24"/>
                <w:szCs w:val="22"/>
              </w:rPr>
            </w:pPr>
            <w:r>
              <w:rPr>
                <w:rFonts w:hint="eastAsia" w:ascii="黑体" w:hAnsi="黑体" w:eastAsia="黑体"/>
                <w:color w:val="000000"/>
                <w:spacing w:val="-4"/>
                <w:kern w:val="0"/>
                <w:sz w:val="24"/>
                <w:szCs w:val="22"/>
              </w:rPr>
              <w:t>进度计划完成率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2"/>
                <w:szCs w:val="22"/>
              </w:rPr>
            </w:pPr>
          </w:p>
        </w:tc>
        <w:tc>
          <w:tcPr>
            <w:tcW w:w="1209" w:type="dxa"/>
            <w:vMerge w:val="restart"/>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项目完成</w:t>
            </w:r>
          </w:p>
        </w:tc>
        <w:tc>
          <w:tcPr>
            <w:tcW w:w="1273"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数量指标</w:t>
            </w:r>
          </w:p>
        </w:tc>
        <w:tc>
          <w:tcPr>
            <w:tcW w:w="198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lang w:eastAsia="zh-CN"/>
              </w:rPr>
            </w:pPr>
            <w:r>
              <w:rPr>
                <w:rFonts w:hint="eastAsia" w:ascii="Times New Roman" w:hAnsi="Times New Roman" w:eastAsia="仿宋_GB2312" w:cs="Times New Roman"/>
                <w:color w:val="000000"/>
                <w:spacing w:val="-4"/>
                <w:kern w:val="0"/>
                <w:sz w:val="24"/>
                <w:szCs w:val="22"/>
                <w:lang w:val="en-US" w:eastAsia="zh-CN" w:bidi="ar-SA"/>
              </w:rPr>
              <w:t>补助发放企业数量</w:t>
            </w:r>
          </w:p>
        </w:tc>
        <w:tc>
          <w:tcPr>
            <w:tcW w:w="170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default" w:ascii="仿宋_GB2312" w:hAnsi="仿宋_GB2312" w:eastAsia="仿宋_GB2312"/>
                <w:color w:val="000000"/>
                <w:spacing w:val="-4"/>
                <w:kern w:val="0"/>
                <w:sz w:val="24"/>
                <w:szCs w:val="22"/>
                <w:lang w:val="en-US"/>
              </w:rPr>
            </w:pPr>
            <w:r>
              <w:rPr>
                <w:rFonts w:hint="eastAsia" w:ascii="仿宋_GB2312" w:hAnsi="仿宋_GB2312" w:eastAsia="仿宋_GB2312"/>
                <w:color w:val="000000"/>
                <w:spacing w:val="-4"/>
                <w:kern w:val="0"/>
                <w:sz w:val="24"/>
                <w:szCs w:val="22"/>
                <w:lang w:val="en-US" w:eastAsia="zh-CN"/>
              </w:rPr>
              <w:t>=1个</w:t>
            </w:r>
          </w:p>
        </w:tc>
        <w:tc>
          <w:tcPr>
            <w:tcW w:w="1757"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6"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2"/>
                <w:szCs w:val="22"/>
              </w:rPr>
            </w:pPr>
          </w:p>
        </w:tc>
        <w:tc>
          <w:tcPr>
            <w:tcW w:w="1209"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textAlignment w:val="center"/>
              <w:rPr>
                <w:rFonts w:hint="eastAsia" w:ascii="仿宋_GB2312" w:hAnsi="仿宋_GB2312" w:eastAsia="仿宋_GB2312"/>
                <w:color w:val="000000"/>
                <w:spacing w:val="-4"/>
                <w:kern w:val="0"/>
                <w:sz w:val="24"/>
                <w:szCs w:val="22"/>
              </w:rPr>
            </w:pPr>
          </w:p>
        </w:tc>
        <w:tc>
          <w:tcPr>
            <w:tcW w:w="1273"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质量指标</w:t>
            </w:r>
          </w:p>
        </w:tc>
        <w:tc>
          <w:tcPr>
            <w:tcW w:w="198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lang w:val="en-US" w:eastAsia="zh-CN"/>
              </w:rPr>
            </w:pPr>
            <w:r>
              <w:rPr>
                <w:rFonts w:hint="default" w:ascii="Times New Roman" w:hAnsi="Times New Roman" w:eastAsia="仿宋_GB2312" w:cs="Times New Roman"/>
                <w:color w:val="000000"/>
                <w:spacing w:val="-4"/>
                <w:kern w:val="0"/>
                <w:sz w:val="24"/>
                <w:szCs w:val="22"/>
              </w:rPr>
              <w:t>监测包括</w:t>
            </w:r>
          </w:p>
        </w:tc>
        <w:tc>
          <w:tcPr>
            <w:tcW w:w="170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default" w:ascii="Times New Roman" w:hAnsi="Times New Roman" w:eastAsia="仿宋_GB2312" w:cs="Times New Roman"/>
                <w:color w:val="000000"/>
                <w:spacing w:val="-4"/>
                <w:sz w:val="24"/>
                <w:szCs w:val="22"/>
                <w:lang w:val="en-US" w:eastAsia="zh-CN"/>
              </w:rPr>
              <w:t>监测不安全因素</w:t>
            </w:r>
          </w:p>
        </w:tc>
        <w:tc>
          <w:tcPr>
            <w:tcW w:w="1757"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1"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2"/>
                <w:szCs w:val="22"/>
              </w:rPr>
            </w:pPr>
          </w:p>
        </w:tc>
        <w:tc>
          <w:tcPr>
            <w:tcW w:w="1209"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textAlignment w:val="center"/>
              <w:rPr>
                <w:rFonts w:hint="eastAsia" w:ascii="仿宋_GB2312" w:hAnsi="仿宋_GB2312" w:eastAsia="仿宋_GB2312"/>
                <w:color w:val="000000"/>
                <w:spacing w:val="-4"/>
                <w:kern w:val="0"/>
                <w:sz w:val="24"/>
                <w:szCs w:val="22"/>
              </w:rPr>
            </w:pPr>
          </w:p>
        </w:tc>
        <w:tc>
          <w:tcPr>
            <w:tcW w:w="1273"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时效指标</w:t>
            </w:r>
          </w:p>
        </w:tc>
        <w:tc>
          <w:tcPr>
            <w:tcW w:w="198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20</w:t>
            </w:r>
            <w:r>
              <w:rPr>
                <w:rFonts w:hint="eastAsia" w:ascii="仿宋_GB2312" w:hAnsi="仿宋_GB2312" w:eastAsia="仿宋_GB2312"/>
                <w:color w:val="000000"/>
                <w:spacing w:val="-4"/>
                <w:kern w:val="0"/>
                <w:sz w:val="24"/>
                <w:szCs w:val="22"/>
                <w:lang w:val="en-US" w:eastAsia="zh-CN"/>
              </w:rPr>
              <w:t>23</w:t>
            </w:r>
            <w:r>
              <w:rPr>
                <w:rFonts w:hint="eastAsia" w:ascii="仿宋_GB2312" w:hAnsi="仿宋_GB2312" w:eastAsia="仿宋_GB2312"/>
                <w:color w:val="000000"/>
                <w:spacing w:val="-4"/>
                <w:kern w:val="0"/>
                <w:sz w:val="24"/>
                <w:szCs w:val="22"/>
              </w:rPr>
              <w:t>年</w:t>
            </w:r>
          </w:p>
        </w:tc>
        <w:tc>
          <w:tcPr>
            <w:tcW w:w="170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1-12月</w:t>
            </w:r>
          </w:p>
        </w:tc>
        <w:tc>
          <w:tcPr>
            <w:tcW w:w="1757"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1" w:hRule="atLeast"/>
          <w:jc w:val="center"/>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2"/>
                <w:szCs w:val="22"/>
              </w:rPr>
            </w:pPr>
          </w:p>
        </w:tc>
        <w:tc>
          <w:tcPr>
            <w:tcW w:w="1209"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textAlignment w:val="center"/>
              <w:rPr>
                <w:rFonts w:hint="eastAsia" w:ascii="仿宋_GB2312" w:hAnsi="仿宋_GB2312" w:eastAsia="仿宋_GB2312"/>
                <w:color w:val="000000"/>
                <w:spacing w:val="-4"/>
                <w:kern w:val="0"/>
                <w:sz w:val="24"/>
                <w:szCs w:val="22"/>
              </w:rPr>
            </w:pPr>
          </w:p>
        </w:tc>
        <w:tc>
          <w:tcPr>
            <w:tcW w:w="1273"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成本指标</w:t>
            </w:r>
          </w:p>
        </w:tc>
        <w:tc>
          <w:tcPr>
            <w:tcW w:w="198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补助资金</w:t>
            </w:r>
          </w:p>
        </w:tc>
        <w:tc>
          <w:tcPr>
            <w:tcW w:w="170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lang w:val="en-US" w:eastAsia="zh-CN"/>
              </w:rPr>
              <w:t>45.1</w:t>
            </w:r>
            <w:r>
              <w:rPr>
                <w:rFonts w:hint="eastAsia" w:ascii="仿宋_GB2312" w:hAnsi="仿宋_GB2312" w:eastAsia="仿宋_GB2312"/>
                <w:color w:val="000000"/>
                <w:spacing w:val="-4"/>
                <w:kern w:val="0"/>
                <w:sz w:val="24"/>
                <w:szCs w:val="22"/>
              </w:rPr>
              <w:t>万元</w:t>
            </w:r>
          </w:p>
        </w:tc>
        <w:tc>
          <w:tcPr>
            <w:tcW w:w="1757"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589" w:lineRule="exact"/>
        <w:ind w:left="0" w:leftChars="0" w:right="0" w:rightChars="0" w:firstLine="627" w:firstLineChars="200"/>
        <w:jc w:val="both"/>
        <w:textAlignment w:val="auto"/>
        <w:outlineLvl w:val="9"/>
        <w:rPr>
          <w:rFonts w:hint="eastAsia"/>
          <w:spacing w:val="-4"/>
        </w:rPr>
      </w:pPr>
      <w:r>
        <w:rPr>
          <w:rFonts w:hint="eastAsia" w:ascii="楷体_GB2312" w:hAnsi="楷体_GB2312" w:eastAsia="楷体_GB2312"/>
          <w:b/>
          <w:spacing w:val="-4"/>
          <w:sz w:val="32"/>
        </w:rPr>
        <w:t>（二）项目效益情况</w:t>
      </w:r>
      <w:bookmarkStart w:id="0" w:name="_GoBack"/>
      <w:bookmarkEnd w:id="0"/>
    </w:p>
    <w:tbl>
      <w:tblPr>
        <w:tblStyle w:val="12"/>
        <w:tblW w:w="90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1350"/>
        <w:gridCol w:w="2012"/>
        <w:gridCol w:w="1971"/>
        <w:gridCol w:w="1191"/>
        <w:gridCol w:w="18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700" w:type="dxa"/>
            <w:vMerge w:val="restart"/>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仿宋_GB2312" w:hAnsi="仿宋_GB2312" w:eastAsia="仿宋_GB2312"/>
                <w:color w:val="000000"/>
                <w:spacing w:val="-4"/>
                <w:sz w:val="24"/>
                <w:szCs w:val="22"/>
              </w:rPr>
            </w:pPr>
            <w:r>
              <w:rPr>
                <w:rFonts w:hint="eastAsia" w:ascii="黑体" w:hAnsi="黑体" w:eastAsia="黑体"/>
                <w:color w:val="000000"/>
                <w:spacing w:val="-4"/>
                <w:kern w:val="0"/>
                <w:sz w:val="24"/>
                <w:szCs w:val="22"/>
              </w:rPr>
              <w:t>绩效指标</w:t>
            </w:r>
          </w:p>
        </w:tc>
        <w:tc>
          <w:tcPr>
            <w:tcW w:w="135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一级指标</w:t>
            </w:r>
          </w:p>
        </w:tc>
        <w:tc>
          <w:tcPr>
            <w:tcW w:w="2012"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二级指标</w:t>
            </w:r>
          </w:p>
        </w:tc>
        <w:tc>
          <w:tcPr>
            <w:tcW w:w="197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三级指标</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sz w:val="24"/>
                <w:szCs w:val="22"/>
              </w:rPr>
            </w:pPr>
            <w:r>
              <w:rPr>
                <w:rFonts w:hint="eastAsia" w:ascii="黑体" w:hAnsi="黑体" w:eastAsia="黑体"/>
                <w:color w:val="000000"/>
                <w:spacing w:val="-4"/>
                <w:kern w:val="0"/>
                <w:sz w:val="24"/>
                <w:szCs w:val="22"/>
              </w:rPr>
              <w:t>指标值</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center"/>
              <w:textAlignment w:val="center"/>
              <w:rPr>
                <w:rFonts w:hint="eastAsia" w:ascii="黑体" w:hAnsi="黑体" w:eastAsia="黑体"/>
                <w:color w:val="000000"/>
                <w:spacing w:val="-4"/>
                <w:kern w:val="0"/>
                <w:sz w:val="24"/>
                <w:szCs w:val="22"/>
              </w:rPr>
            </w:pPr>
            <w:r>
              <w:rPr>
                <w:rFonts w:hint="eastAsia" w:ascii="黑体" w:hAnsi="黑体" w:eastAsia="黑体"/>
                <w:color w:val="000000"/>
                <w:spacing w:val="-4"/>
                <w:kern w:val="0"/>
                <w:sz w:val="24"/>
                <w:szCs w:val="22"/>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1"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4"/>
                <w:szCs w:val="22"/>
              </w:rPr>
            </w:pPr>
          </w:p>
        </w:tc>
        <w:tc>
          <w:tcPr>
            <w:tcW w:w="1350" w:type="dxa"/>
            <w:vMerge w:val="restart"/>
            <w:tcBorders>
              <w:top w:val="single" w:color="000000"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项目效益</w:t>
            </w:r>
          </w:p>
        </w:tc>
        <w:tc>
          <w:tcPr>
            <w:tcW w:w="2012"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经济效益指标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lang w:eastAsia="zh-CN"/>
              </w:rPr>
            </w:pPr>
            <w:r>
              <w:rPr>
                <w:rFonts w:hint="eastAsia" w:ascii="仿宋_GB2312" w:hAnsi="仿宋_GB2312" w:eastAsia="仿宋_GB2312"/>
                <w:color w:val="000000"/>
                <w:spacing w:val="-4"/>
                <w:kern w:val="0"/>
                <w:sz w:val="24"/>
                <w:szCs w:val="22"/>
                <w:lang w:eastAsia="zh-CN"/>
              </w:rPr>
              <w:t>年入库税金</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default" w:ascii="仿宋_GB2312" w:hAnsi="仿宋_GB2312" w:eastAsia="仿宋_GB2312"/>
                <w:color w:val="000000"/>
                <w:spacing w:val="-4"/>
                <w:kern w:val="0"/>
                <w:sz w:val="24"/>
                <w:szCs w:val="22"/>
                <w:lang w:val="en-US"/>
              </w:rPr>
            </w:pPr>
            <w:r>
              <w:rPr>
                <w:rFonts w:hint="eastAsia" w:ascii="仿宋_GB2312" w:hAnsi="仿宋_GB2312" w:eastAsia="仿宋_GB2312"/>
                <w:color w:val="000000"/>
                <w:spacing w:val="-4"/>
                <w:kern w:val="0"/>
                <w:sz w:val="24"/>
                <w:szCs w:val="22"/>
                <w:lang w:val="en-US" w:eastAsia="zh-CN"/>
              </w:rPr>
              <w:t>≥100万元</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4"/>
                <w:szCs w:val="22"/>
              </w:rPr>
            </w:pPr>
          </w:p>
        </w:tc>
        <w:tc>
          <w:tcPr>
            <w:tcW w:w="1350"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jc w:val="both"/>
              <w:textAlignment w:val="center"/>
              <w:rPr>
                <w:rFonts w:hint="eastAsia" w:ascii="仿宋_GB2312" w:hAnsi="仿宋_GB2312" w:eastAsia="仿宋_GB2312"/>
                <w:color w:val="000000"/>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社会效益指标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Times New Roman" w:hAnsi="Times New Roman" w:eastAsia="仿宋_GB2312" w:cs="Times New Roman"/>
                <w:color w:val="000000"/>
                <w:spacing w:val="-4"/>
                <w:kern w:val="0"/>
                <w:sz w:val="24"/>
                <w:szCs w:val="22"/>
                <w:lang w:val="en-US" w:eastAsia="zh-CN" w:bidi="ar-SA"/>
              </w:rPr>
              <w:t>补助</w:t>
            </w:r>
            <w:r>
              <w:rPr>
                <w:rFonts w:hint="eastAsia" w:eastAsia="仿宋_GB2312" w:cs="Times New Roman"/>
                <w:color w:val="000000"/>
                <w:spacing w:val="-4"/>
                <w:kern w:val="0"/>
                <w:sz w:val="24"/>
                <w:szCs w:val="22"/>
                <w:lang w:val="en-US" w:eastAsia="zh-CN" w:bidi="ar-SA"/>
              </w:rPr>
              <w:t>大英鑫业物流有限公司</w:t>
            </w:r>
            <w:r>
              <w:rPr>
                <w:rFonts w:hint="eastAsia" w:ascii="Times New Roman" w:hAnsi="Times New Roman" w:eastAsia="仿宋_GB2312" w:cs="Times New Roman"/>
                <w:color w:val="000000"/>
                <w:spacing w:val="-4"/>
                <w:kern w:val="0"/>
                <w:sz w:val="24"/>
                <w:szCs w:val="22"/>
                <w:lang w:val="en-US" w:eastAsia="zh-CN" w:bidi="ar-SA"/>
              </w:rPr>
              <w:t>资金应发尽发率</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default" w:ascii="仿宋_GB2312" w:hAnsi="仿宋_GB2312" w:eastAsia="仿宋_GB2312"/>
                <w:color w:val="000000"/>
                <w:spacing w:val="-4"/>
                <w:kern w:val="0"/>
                <w:sz w:val="24"/>
                <w:szCs w:val="22"/>
                <w:lang w:val="en-US" w:eastAsia="zh-CN"/>
              </w:rPr>
            </w:pPr>
            <w:r>
              <w:rPr>
                <w:rFonts w:hint="eastAsia" w:ascii="仿宋_GB2312" w:hAnsi="仿宋_GB2312" w:eastAsia="仿宋_GB2312"/>
                <w:color w:val="000000"/>
                <w:spacing w:val="-4"/>
                <w:kern w:val="0"/>
                <w:sz w:val="24"/>
                <w:szCs w:val="22"/>
                <w:lang w:val="en-US" w:eastAsia="zh-CN"/>
              </w:rPr>
              <w:t>=100%</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4"/>
                <w:szCs w:val="22"/>
              </w:rPr>
            </w:pPr>
          </w:p>
        </w:tc>
        <w:tc>
          <w:tcPr>
            <w:tcW w:w="1350"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jc w:val="both"/>
              <w:textAlignment w:val="center"/>
              <w:rPr>
                <w:rFonts w:hint="eastAsia" w:ascii="仿宋_GB2312" w:hAnsi="仿宋_GB2312" w:eastAsia="仿宋_GB2312"/>
                <w:color w:val="000000"/>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生态效益指标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4"/>
                <w:szCs w:val="22"/>
              </w:rPr>
            </w:pPr>
          </w:p>
        </w:tc>
        <w:tc>
          <w:tcPr>
            <w:tcW w:w="1350"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jc w:val="both"/>
              <w:textAlignment w:val="center"/>
              <w:rPr>
                <w:rFonts w:hint="eastAsia" w:ascii="仿宋_GB2312" w:hAnsi="仿宋_GB2312" w:eastAsia="仿宋_GB2312"/>
                <w:color w:val="000000"/>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可持续效益指标</w:t>
            </w:r>
          </w:p>
        </w:tc>
        <w:tc>
          <w:tcPr>
            <w:tcW w:w="197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60" w:lineRule="exact"/>
              <w:ind w:left="0" w:right="0"/>
              <w:jc w:val="both"/>
              <w:rPr>
                <w:rFonts w:hint="eastAsia" w:ascii="仿宋_GB2312" w:hAnsi="仿宋_GB2312" w:eastAsia="仿宋_GB2312"/>
                <w:color w:val="000000"/>
                <w:spacing w:val="-4"/>
                <w:sz w:val="24"/>
                <w:szCs w:val="22"/>
              </w:rPr>
            </w:pPr>
          </w:p>
        </w:tc>
        <w:tc>
          <w:tcPr>
            <w:tcW w:w="1350" w:type="dxa"/>
            <w:vMerge w:val="continue"/>
            <w:tcBorders>
              <w:top w:val="single" w:color="auto" w:sz="4" w:space="0"/>
              <w:left w:val="single" w:color="000000" w:sz="4" w:space="0"/>
              <w:bottom w:val="single" w:color="auto"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right="0"/>
              <w:jc w:val="both"/>
              <w:textAlignment w:val="center"/>
              <w:rPr>
                <w:rFonts w:hint="eastAsia" w:ascii="仿宋_GB2312" w:hAnsi="仿宋_GB2312" w:eastAsia="仿宋_GB2312"/>
                <w:color w:val="000000"/>
                <w:spacing w:val="-4"/>
                <w:kern w:val="0"/>
                <w:sz w:val="24"/>
                <w:szCs w:val="22"/>
              </w:rPr>
            </w:pPr>
          </w:p>
        </w:tc>
        <w:tc>
          <w:tcPr>
            <w:tcW w:w="2012"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服务对象满意度指标</w:t>
            </w:r>
          </w:p>
        </w:tc>
        <w:tc>
          <w:tcPr>
            <w:tcW w:w="197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补助大英鑫业物流有限公司满意度</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lang w:val="en-US" w:eastAsia="zh-CN"/>
              </w:rPr>
              <w:t>≥98%</w:t>
            </w:r>
          </w:p>
        </w:tc>
        <w:tc>
          <w:tcPr>
            <w:tcW w:w="1824"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0" w:lineRule="atLeast"/>
              <w:ind w:left="0" w:leftChars="0" w:right="0" w:rightChars="0"/>
              <w:jc w:val="both"/>
              <w:textAlignment w:val="center"/>
              <w:rPr>
                <w:rFonts w:hint="eastAsia" w:ascii="仿宋_GB2312" w:hAnsi="仿宋_GB2312" w:eastAsia="仿宋_GB2312"/>
                <w:color w:val="000000"/>
                <w:spacing w:val="-4"/>
                <w:kern w:val="0"/>
                <w:sz w:val="24"/>
                <w:szCs w:val="22"/>
              </w:rPr>
            </w:pPr>
            <w:r>
              <w:rPr>
                <w:rFonts w:hint="eastAsia" w:ascii="仿宋_GB2312" w:hAnsi="仿宋_GB2312" w:eastAsia="仿宋_GB2312"/>
                <w:color w:val="000000"/>
                <w:spacing w:val="-4"/>
                <w:kern w:val="0"/>
                <w:sz w:val="24"/>
                <w:szCs w:val="22"/>
              </w:rPr>
              <w:t>已完成100%</w:t>
            </w:r>
          </w:p>
        </w:tc>
      </w:tr>
    </w:tbl>
    <w:p>
      <w:pPr>
        <w:keepNext w:val="0"/>
        <w:keepLines w:val="0"/>
        <w:pageBreakBefore w:val="0"/>
        <w:widowControl/>
        <w:kinsoku/>
        <w:wordWrap/>
        <w:overflowPunct/>
        <w:topLinePunct w:val="0"/>
        <w:autoSpaceDE/>
        <w:autoSpaceDN/>
        <w:bidi w:val="0"/>
        <w:adjustRightInd/>
        <w:snapToGrid/>
        <w:spacing w:before="157" w:beforeLines="50" w:line="590" w:lineRule="exact"/>
        <w:ind w:firstLine="624" w:firstLineChars="200"/>
        <w:jc w:val="both"/>
        <w:textAlignment w:val="baseline"/>
        <w:rPr>
          <w:rFonts w:hint="default" w:ascii="Times New Roman" w:hAnsi="Times New Roman" w:eastAsia="黑体" w:cs="Times New Roman"/>
          <w:color w:val="auto"/>
          <w:spacing w:val="-4"/>
          <w:sz w:val="32"/>
        </w:rPr>
      </w:pPr>
      <w:r>
        <w:rPr>
          <w:rFonts w:hint="default" w:ascii="Times New Roman" w:hAnsi="Times New Roman" w:eastAsia="黑体" w:cs="Times New Roman"/>
          <w:color w:val="auto"/>
          <w:spacing w:val="-4"/>
          <w:sz w:val="32"/>
        </w:rPr>
        <w:t>五、评价结论及建议</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b/>
          <w:color w:val="auto"/>
          <w:spacing w:val="-4"/>
          <w:sz w:val="32"/>
        </w:rPr>
      </w:pPr>
      <w:r>
        <w:rPr>
          <w:rFonts w:hint="default" w:ascii="Times New Roman" w:hAnsi="Times New Roman" w:eastAsia="楷体_GB2312" w:cs="Times New Roman"/>
          <w:b/>
          <w:color w:val="auto"/>
          <w:spacing w:val="-4"/>
          <w:sz w:val="32"/>
        </w:rPr>
        <w:t>（一）评价结论</w:t>
      </w:r>
    </w:p>
    <w:p>
      <w:pPr>
        <w:pStyle w:val="2"/>
        <w:keepNext w:val="0"/>
        <w:keepLines w:val="0"/>
        <w:pageBreakBefore w:val="0"/>
        <w:widowControl w:val="0"/>
        <w:kinsoku/>
        <w:wordWrap/>
        <w:overflowPunct/>
        <w:topLinePunct w:val="0"/>
        <w:autoSpaceDE/>
        <w:autoSpaceDN/>
        <w:bidi w:val="0"/>
        <w:adjustRightInd w:val="0"/>
        <w:snapToGrid w:val="0"/>
        <w:spacing w:line="590" w:lineRule="exact"/>
        <w:ind w:left="0" w:right="0" w:firstLine="624" w:firstLineChars="200"/>
        <w:jc w:val="both"/>
        <w:rPr>
          <w:rFonts w:hint="eastAsia" w:ascii="Times New Roman" w:hAnsi="Times New Roman" w:eastAsia="仿宋_GB2312" w:cs="Times New Roman"/>
          <w:b w:val="0"/>
          <w:bCs/>
          <w:color w:val="000000"/>
          <w:spacing w:val="-4"/>
          <w:sz w:val="32"/>
          <w:szCs w:val="32"/>
        </w:rPr>
      </w:pPr>
      <w:r>
        <w:rPr>
          <w:rFonts w:hint="eastAsia" w:ascii="仿宋_GB2312" w:hAnsi="仿宋_GB2312" w:eastAsia="仿宋_GB2312"/>
          <w:spacing w:val="-4"/>
          <w:sz w:val="32"/>
          <w:lang w:val="en-US" w:eastAsia="zh-CN"/>
        </w:rPr>
        <w:t>此次绩效评价结果为“优秀”等次，</w:t>
      </w:r>
      <w:r>
        <w:rPr>
          <w:rFonts w:hint="eastAsia" w:ascii="Times New Roman" w:hAnsi="Times New Roman" w:eastAsia="仿宋_GB2312" w:cs="Times New Roman"/>
          <w:b w:val="0"/>
          <w:bCs/>
          <w:color w:val="000000"/>
          <w:spacing w:val="-4"/>
          <w:sz w:val="32"/>
          <w:szCs w:val="32"/>
        </w:rPr>
        <w:t>较好地完成了项目预定目标</w:t>
      </w:r>
      <w:r>
        <w:rPr>
          <w:rFonts w:hint="eastAsia" w:ascii="Times New Roman" w:hAnsi="Times New Roman" w:eastAsia="仿宋_GB2312" w:cs="Times New Roman"/>
          <w:b w:val="0"/>
          <w:bCs/>
          <w:color w:val="000000"/>
          <w:spacing w:val="-4"/>
          <w:sz w:val="32"/>
          <w:szCs w:val="32"/>
          <w:lang w:eastAsia="zh-CN"/>
        </w:rPr>
        <w:t>，</w:t>
      </w:r>
      <w:r>
        <w:rPr>
          <w:rFonts w:hint="eastAsia" w:ascii="Times New Roman" w:hAnsi="Times New Roman" w:eastAsia="仿宋_GB2312" w:cs="Times New Roman"/>
          <w:b w:val="0"/>
          <w:bCs/>
          <w:color w:val="000000"/>
          <w:spacing w:val="-4"/>
          <w:sz w:val="32"/>
          <w:szCs w:val="32"/>
          <w:lang w:val="en-US" w:eastAsia="zh-CN"/>
        </w:rPr>
        <w:t>参照指标体系此次绩效评价得分为100分，</w:t>
      </w:r>
      <w:r>
        <w:rPr>
          <w:rFonts w:hint="eastAsia" w:ascii="仿宋_GB2312" w:hAnsi="仿宋_GB2312" w:eastAsia="仿宋_GB2312"/>
          <w:spacing w:val="-4"/>
          <w:sz w:val="32"/>
          <w:lang w:val="en-US" w:eastAsia="zh-CN"/>
        </w:rPr>
        <w:t>建议在以后年度继续对项目进行扶持，促进大英县招商引资项目更好的发展</w:t>
      </w:r>
      <w:r>
        <w:rPr>
          <w:rFonts w:hint="eastAsia" w:ascii="仿宋_GB2312" w:hAnsi="仿宋_GB2312" w:eastAsia="仿宋_GB2312"/>
          <w:spacing w:val="-4"/>
          <w:sz w:val="32"/>
        </w:rPr>
        <w:t>。</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b/>
          <w:color w:val="000000"/>
          <w:spacing w:val="-4"/>
          <w:sz w:val="32"/>
        </w:rPr>
      </w:pPr>
      <w:r>
        <w:rPr>
          <w:rFonts w:hint="default" w:ascii="Times New Roman" w:hAnsi="Times New Roman" w:eastAsia="楷体_GB2312" w:cs="Times New Roman"/>
          <w:b/>
          <w:color w:val="000000"/>
          <w:spacing w:val="-4"/>
          <w:sz w:val="32"/>
        </w:rPr>
        <w:t>（二）存在的问题</w:t>
      </w:r>
    </w:p>
    <w:p>
      <w:pPr>
        <w:keepNext w:val="0"/>
        <w:keepLines w:val="0"/>
        <w:pageBreakBefore w:val="0"/>
        <w:widowControl/>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仿宋_GB2312" w:cs="Times New Roman"/>
          <w:color w:val="000000"/>
          <w:spacing w:val="-4"/>
          <w:kern w:val="2"/>
          <w:sz w:val="32"/>
          <w:szCs w:val="32"/>
          <w:lang w:val="en-US" w:eastAsia="zh-CN" w:bidi="ar-SA"/>
        </w:rPr>
      </w:pPr>
      <w:r>
        <w:rPr>
          <w:rFonts w:hint="default" w:ascii="Times New Roman" w:hAnsi="Times New Roman" w:eastAsia="仿宋_GB2312" w:cs="Times New Roman"/>
          <w:color w:val="000000"/>
          <w:spacing w:val="-4"/>
          <w:kern w:val="2"/>
          <w:sz w:val="32"/>
          <w:szCs w:val="32"/>
          <w:lang w:val="en-US" w:eastAsia="zh-CN" w:bidi="ar-SA"/>
        </w:rPr>
        <w:t>由于预算绩效管理的专业性、复杂性等特性，现有工作人员业务水平还不能满足绩效管理工作要求，导致预算绩效管理工作相对滞后，预算绩效自评质量不高，预算绩效管理基础工作有待进一步加强。</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楷体_GB2312" w:cs="Times New Roman"/>
          <w:b/>
          <w:color w:val="000000"/>
          <w:spacing w:val="-4"/>
          <w:sz w:val="32"/>
        </w:rPr>
      </w:pPr>
      <w:r>
        <w:rPr>
          <w:rFonts w:hint="default" w:ascii="Times New Roman" w:hAnsi="Times New Roman" w:eastAsia="楷体_GB2312" w:cs="Times New Roman"/>
          <w:b/>
          <w:color w:val="000000"/>
          <w:spacing w:val="-4"/>
          <w:sz w:val="32"/>
          <w:lang w:eastAsia="zh-CN"/>
        </w:rPr>
        <w:t>（</w:t>
      </w:r>
      <w:r>
        <w:rPr>
          <w:rFonts w:hint="default" w:ascii="Times New Roman" w:hAnsi="Times New Roman" w:eastAsia="楷体_GB2312" w:cs="Times New Roman"/>
          <w:b/>
          <w:color w:val="000000"/>
          <w:spacing w:val="-4"/>
          <w:sz w:val="32"/>
          <w:lang w:val="en-US" w:eastAsia="zh-CN"/>
        </w:rPr>
        <w:t>三</w:t>
      </w:r>
      <w:r>
        <w:rPr>
          <w:rFonts w:hint="default" w:ascii="Times New Roman" w:hAnsi="Times New Roman" w:eastAsia="楷体_GB2312" w:cs="Times New Roman"/>
          <w:b/>
          <w:color w:val="000000"/>
          <w:spacing w:val="-4"/>
          <w:sz w:val="32"/>
          <w:lang w:eastAsia="zh-CN"/>
        </w:rPr>
        <w:t>）</w:t>
      </w:r>
      <w:r>
        <w:rPr>
          <w:rFonts w:hint="default" w:ascii="Times New Roman" w:hAnsi="Times New Roman" w:eastAsia="楷体_GB2312" w:cs="Times New Roman"/>
          <w:b/>
          <w:color w:val="000000"/>
          <w:spacing w:val="-4"/>
          <w:sz w:val="32"/>
        </w:rPr>
        <w:t>相关建议</w:t>
      </w:r>
    </w:p>
    <w:p>
      <w:pPr>
        <w:keepNext w:val="0"/>
        <w:keepLines w:val="0"/>
        <w:pageBreakBefore w:val="0"/>
        <w:widowControl/>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仿宋_GB2312" w:cs="Times New Roman"/>
          <w:color w:val="000000"/>
          <w:spacing w:val="-4"/>
          <w:kern w:val="0"/>
          <w:sz w:val="32"/>
          <w:szCs w:val="24"/>
          <w:shd w:val="clear" w:color="auto" w:fill="FFFFFF"/>
          <w:lang w:val="zh-CN" w:eastAsia="zh-CN" w:bidi="ar-SA"/>
        </w:rPr>
      </w:pPr>
      <w:r>
        <w:rPr>
          <w:rFonts w:hint="default" w:ascii="Times New Roman" w:hAnsi="Times New Roman" w:eastAsia="仿宋_GB2312" w:cs="Times New Roman"/>
          <w:color w:val="000000"/>
          <w:spacing w:val="-4"/>
          <w:kern w:val="0"/>
          <w:sz w:val="32"/>
          <w:szCs w:val="24"/>
          <w:shd w:val="clear" w:color="auto" w:fill="FFFFFF"/>
          <w:lang w:val="en-US" w:eastAsia="zh-CN" w:bidi="ar-SA"/>
        </w:rPr>
        <w:t>1.</w:t>
      </w:r>
      <w:r>
        <w:rPr>
          <w:rFonts w:hint="default" w:ascii="Times New Roman" w:hAnsi="Times New Roman" w:eastAsia="仿宋_GB2312" w:cs="Times New Roman"/>
          <w:color w:val="000000"/>
          <w:spacing w:val="-4"/>
          <w:kern w:val="0"/>
          <w:sz w:val="32"/>
          <w:szCs w:val="24"/>
          <w:shd w:val="clear" w:color="auto" w:fill="FFFFFF"/>
          <w:lang w:val="zh-CN" w:eastAsia="zh-CN" w:bidi="ar-SA"/>
        </w:rPr>
        <w:t>统筹谋划、科学设置绩效指标项目，提高预算绩效编制的科学性、针对性。</w:t>
      </w:r>
    </w:p>
    <w:p>
      <w:pPr>
        <w:keepNext w:val="0"/>
        <w:keepLines w:val="0"/>
        <w:pageBreakBefore w:val="0"/>
        <w:widowControl/>
        <w:kinsoku/>
        <w:wordWrap/>
        <w:overflowPunct/>
        <w:topLinePunct w:val="0"/>
        <w:autoSpaceDE/>
        <w:autoSpaceDN/>
        <w:bidi w:val="0"/>
        <w:adjustRightInd/>
        <w:snapToGrid/>
        <w:spacing w:line="590" w:lineRule="exact"/>
        <w:ind w:right="0" w:rightChars="0" w:firstLine="624" w:firstLineChars="200"/>
        <w:textAlignment w:val="auto"/>
        <w:rPr>
          <w:rFonts w:hint="eastAsia" w:ascii="Times New Roman" w:hAnsi="Times New Roman" w:eastAsia="FangSong_GB2312"/>
          <w:spacing w:val="-4"/>
          <w:kern w:val="0"/>
          <w:sz w:val="32"/>
          <w:szCs w:val="32"/>
          <w:shd w:val="clear" w:color="auto" w:fill="FFFFFF"/>
          <w:lang w:val="en-US" w:eastAsia="zh-CN" w:bidi="ar"/>
        </w:rPr>
      </w:pPr>
      <w:r>
        <w:rPr>
          <w:rFonts w:hint="default" w:ascii="Times New Roman" w:hAnsi="Times New Roman" w:eastAsia="仿宋_GB2312" w:cs="Times New Roman"/>
          <w:color w:val="000000"/>
          <w:spacing w:val="-4"/>
          <w:kern w:val="0"/>
          <w:sz w:val="32"/>
          <w:szCs w:val="24"/>
          <w:shd w:val="clear" w:color="auto" w:fill="FFFFFF"/>
          <w:lang w:val="en-US" w:eastAsia="zh-CN" w:bidi="ar-SA"/>
        </w:rPr>
        <w:t>2.</w:t>
      </w:r>
      <w:r>
        <w:rPr>
          <w:rFonts w:hint="eastAsia" w:eastAsia="仿宋_GB2312" w:cs="Times New Roman"/>
          <w:color w:val="000000"/>
          <w:spacing w:val="-4"/>
          <w:kern w:val="2"/>
          <w:sz w:val="32"/>
          <w:szCs w:val="32"/>
          <w:lang w:val="en-US" w:eastAsia="zh-CN" w:bidi="ar-SA"/>
        </w:rPr>
        <w:t>强化资金和政策保障，推动招商引资优惠政策兑现。</w:t>
      </w:r>
    </w:p>
    <w:p>
      <w:pPr>
        <w:keepNext w:val="0"/>
        <w:keepLines w:val="0"/>
        <w:pageBreakBefore w:val="0"/>
        <w:kinsoku/>
        <w:wordWrap/>
        <w:overflowPunct/>
        <w:topLinePunct w:val="0"/>
        <w:autoSpaceDE/>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wordWrap/>
        <w:overflowPunct/>
        <w:topLinePunct w:val="0"/>
        <w:autoSpaceDE/>
        <w:autoSpaceDN/>
        <w:bidi w:val="0"/>
        <w:spacing w:line="590" w:lineRule="exact"/>
        <w:ind w:firstLine="624" w:firstLineChars="200"/>
        <w:jc w:val="both"/>
        <w:rPr>
          <w:rFonts w:hint="eastAsia" w:eastAsia="FangSong_GB2312"/>
          <w:spacing w:val="-4"/>
          <w:kern w:val="0"/>
          <w:sz w:val="32"/>
          <w:szCs w:val="32"/>
          <w:shd w:val="clear" w:color="auto" w:fill="FFFFFF"/>
          <w:lang w:val="en-US" w:eastAsia="zh-CN" w:bidi="ar"/>
        </w:rPr>
      </w:pPr>
      <w:r>
        <w:rPr>
          <w:rFonts w:hint="eastAsia" w:eastAsia="FangSong_GB2312"/>
          <w:spacing w:val="-4"/>
          <w:kern w:val="0"/>
          <w:sz w:val="32"/>
          <w:szCs w:val="32"/>
          <w:shd w:val="clear" w:color="auto" w:fill="FFFFFF"/>
          <w:lang w:val="en-US" w:eastAsia="zh-CN" w:bidi="ar"/>
        </w:rPr>
        <w:t>附件：2024年县级专项预算项目支出绩效评价指标体系</w:t>
      </w:r>
    </w:p>
    <w:p>
      <w:pPr>
        <w:keepNext w:val="0"/>
        <w:keepLines w:val="0"/>
        <w:pageBreakBefore w:val="0"/>
        <w:kinsoku/>
        <w:overflowPunct/>
        <w:topLinePunct w:val="0"/>
        <w:autoSpaceDN/>
        <w:bidi w:val="0"/>
        <w:spacing w:line="590" w:lineRule="exact"/>
        <w:ind w:firstLine="624" w:firstLineChars="200"/>
        <w:jc w:val="both"/>
        <w:rPr>
          <w:rFonts w:hint="eastAsia"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624" w:firstLineChars="200"/>
        <w:jc w:val="both"/>
        <w:rPr>
          <w:rFonts w:hint="eastAsia"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624" w:firstLineChars="200"/>
        <w:jc w:val="both"/>
        <w:rPr>
          <w:rFonts w:hint="default" w:eastAsia="FangSong_GB2312"/>
          <w:spacing w:val="-4"/>
          <w:kern w:val="0"/>
          <w:sz w:val="32"/>
          <w:szCs w:val="32"/>
          <w:shd w:val="clear" w:color="auto" w:fill="FFFFFF"/>
          <w:lang w:val="en-US" w:eastAsia="zh-CN" w:bidi="ar"/>
        </w:rPr>
      </w:pPr>
    </w:p>
    <w:p>
      <w:pPr>
        <w:keepNext w:val="0"/>
        <w:keepLines w:val="0"/>
        <w:pageBreakBefore w:val="0"/>
        <w:widowControl/>
        <w:kinsoku/>
        <w:wordWrap w:val="0"/>
        <w:overflowPunct/>
        <w:topLinePunct w:val="0"/>
        <w:autoSpaceDE/>
        <w:autoSpaceDN/>
        <w:bidi w:val="0"/>
        <w:adjustRightInd w:val="0"/>
        <w:snapToGrid w:val="0"/>
        <w:spacing w:line="590" w:lineRule="exact"/>
        <w:ind w:right="0" w:rightChars="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right"/>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eastAsia="仿宋_GB2312" w:cs="Times New Roman"/>
          <w:color w:val="auto"/>
          <w:spacing w:val="-4"/>
          <w:sz w:val="32"/>
          <w:szCs w:val="32"/>
          <w:highlight w:val="none"/>
          <w:u w:val="none"/>
          <w:shd w:val="clear" w:color="auto" w:fill="auto"/>
          <w:lang w:val="en-US" w:eastAsia="zh-CN"/>
        </w:rPr>
        <w:t>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eastAsia="仿宋_GB2312" w:cs="Times New Roman"/>
          <w:color w:val="auto"/>
          <w:spacing w:val="-4"/>
          <w:sz w:val="32"/>
          <w:szCs w:val="32"/>
          <w:highlight w:val="none"/>
          <w:u w:val="none"/>
          <w:shd w:val="clear" w:color="auto" w:fill="auto"/>
          <w:lang w:val="en-US" w:eastAsia="zh-CN"/>
        </w:rPr>
        <w:t>6</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p>
      <w:pPr>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br w:type="page"/>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right="0"/>
        <w:jc w:val="left"/>
        <w:rPr>
          <w:rFonts w:hint="eastAsia" w:ascii="黑体" w:hAnsi="黑体" w:eastAsia="黑体" w:cs="黑体"/>
          <w:color w:val="auto"/>
          <w:spacing w:val="-4"/>
          <w:sz w:val="32"/>
          <w:szCs w:val="32"/>
          <w:highlight w:val="none"/>
          <w:u w:val="none"/>
          <w:shd w:val="clear" w:color="auto" w:fill="auto"/>
          <w:lang w:val="en-US" w:eastAsia="zh-CN"/>
        </w:rPr>
      </w:pPr>
      <w:r>
        <w:rPr>
          <w:rFonts w:hint="eastAsia" w:ascii="黑体" w:hAnsi="黑体" w:eastAsia="黑体" w:cs="黑体"/>
          <w:color w:val="auto"/>
          <w:spacing w:val="-4"/>
          <w:sz w:val="32"/>
          <w:szCs w:val="32"/>
          <w:highlight w:val="none"/>
          <w:u w:val="none"/>
          <w:shd w:val="clear" w:color="auto" w:fill="auto"/>
          <w:lang w:val="en-US" w:eastAsia="zh-CN"/>
        </w:rPr>
        <w:t>附件</w:t>
      </w: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right="0"/>
        <w:jc w:val="left"/>
        <w:rPr>
          <w:rFonts w:hint="eastAsia" w:ascii="黑体" w:hAnsi="黑体" w:eastAsia="黑体" w:cs="黑体"/>
          <w:color w:val="auto"/>
          <w:spacing w:val="-4"/>
          <w:sz w:val="32"/>
          <w:szCs w:val="32"/>
          <w:highlight w:val="none"/>
          <w:u w:val="none"/>
          <w:shd w:val="clear" w:color="auto" w:fill="auto"/>
          <w:lang w:val="en-US" w:eastAsia="zh-CN"/>
        </w:rPr>
      </w:pPr>
    </w:p>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157" w:afterLines="50" w:afterAutospacing="0" w:line="590" w:lineRule="exact"/>
        <w:ind w:left="0" w:leftChars="0" w:right="0"/>
        <w:jc w:val="center"/>
        <w:textAlignment w:val="baseline"/>
        <w:rPr>
          <w:rFonts w:hint="eastAsia" w:ascii="方正公文小标宋" w:hAnsi="方正公文小标宋" w:eastAsia="方正公文小标宋" w:cs="方正公文小标宋"/>
          <w:color w:val="auto"/>
          <w:spacing w:val="-4"/>
          <w:sz w:val="44"/>
          <w:szCs w:val="44"/>
          <w:highlight w:val="none"/>
          <w:u w:val="none"/>
          <w:shd w:val="clear" w:color="auto" w:fill="auto"/>
          <w:lang w:val="en-US" w:eastAsia="zh-CN"/>
        </w:rPr>
      </w:pPr>
      <w:r>
        <w:rPr>
          <w:rFonts w:hint="eastAsia" w:ascii="Times New Roman" w:hAnsi="Times New Roman" w:eastAsia="方正小标宋简体" w:cs="Times New Roman"/>
          <w:color w:val="auto"/>
          <w:spacing w:val="-4"/>
          <w:sz w:val="36"/>
          <w:szCs w:val="36"/>
          <w:highlight w:val="none"/>
          <w:lang w:val="en-US" w:eastAsia="zh-CN"/>
        </w:rPr>
        <w:t>2024年县级专项预算项目支出绩效评价指标体系</w:t>
      </w:r>
    </w:p>
    <w:tbl>
      <w:tblPr>
        <w:tblW w:w="103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79"/>
        <w:gridCol w:w="402"/>
        <w:gridCol w:w="397"/>
        <w:gridCol w:w="446"/>
        <w:gridCol w:w="340"/>
        <w:gridCol w:w="397"/>
        <w:gridCol w:w="397"/>
        <w:gridCol w:w="1330"/>
        <w:gridCol w:w="625"/>
        <w:gridCol w:w="395"/>
        <w:gridCol w:w="757"/>
        <w:gridCol w:w="576"/>
        <w:gridCol w:w="576"/>
        <w:gridCol w:w="341"/>
        <w:gridCol w:w="1738"/>
        <w:gridCol w:w="654"/>
        <w:gridCol w:w="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0" w:hRule="atLeast"/>
          <w:jc w:val="center"/>
        </w:trPr>
        <w:tc>
          <w:tcPr>
            <w:tcW w:w="1824"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分层分类指标</w:t>
            </w:r>
          </w:p>
        </w:tc>
        <w:tc>
          <w:tcPr>
            <w:tcW w:w="34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3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完成值</w:t>
            </w:r>
          </w:p>
        </w:tc>
        <w:tc>
          <w:tcPr>
            <w:tcW w:w="13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指标解释</w:t>
            </w:r>
          </w:p>
        </w:tc>
        <w:tc>
          <w:tcPr>
            <w:tcW w:w="327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评分方法</w:t>
            </w:r>
          </w:p>
        </w:tc>
        <w:tc>
          <w:tcPr>
            <w:tcW w:w="173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评价要点及说明</w:t>
            </w:r>
          </w:p>
        </w:tc>
        <w:tc>
          <w:tcPr>
            <w:tcW w:w="654"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评价过程</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（只写扣分项的原因）</w:t>
            </w:r>
          </w:p>
        </w:tc>
        <w:tc>
          <w:tcPr>
            <w:tcW w:w="40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自评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0" w:hRule="atLeast"/>
          <w:jc w:val="center"/>
        </w:trPr>
        <w:tc>
          <w:tcPr>
            <w:tcW w:w="5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分层指标</w:t>
            </w:r>
          </w:p>
        </w:tc>
        <w:tc>
          <w:tcPr>
            <w:tcW w:w="40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适用</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范围</w:t>
            </w:r>
          </w:p>
        </w:tc>
        <w:tc>
          <w:tcPr>
            <w:tcW w:w="3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44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3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62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方法归类</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计算公式</w:t>
            </w:r>
          </w:p>
        </w:tc>
        <w:tc>
          <w:tcPr>
            <w:tcW w:w="17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4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4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0.3</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0.6</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0.8</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73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5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通用指标（20分）</w:t>
            </w:r>
          </w:p>
        </w:tc>
        <w:tc>
          <w:tcPr>
            <w:tcW w:w="40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所有项目</w:t>
            </w:r>
          </w:p>
        </w:tc>
        <w:tc>
          <w:tcPr>
            <w:tcW w:w="3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项目决策</w:t>
            </w: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程序严密</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严密</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严密</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项目设立是否经过严格评估论证，管理制度是否健全完善</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分级评分法</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不严密</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3处及以上不严密</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2处不严密</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1处不严密</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严密</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主要查看项目设立时是否经过事前评估或可行性论证，专项资金管理办法是否健全完善</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4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规划合理</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合理</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合理</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项目规划是否符合县委、县政府重大决策部署，是否与项目年度目标一致</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分级评分法</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不合理</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3处及以上不合理</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2处不合理</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1处不合理</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合理</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主要查看项目设立依据是否充分，符合县委、县政府重大决策部署和宏观政策规划，项目年度绩效目标与中长期规划是否一致</w:t>
            </w:r>
          </w:p>
        </w:tc>
        <w:tc>
          <w:tcPr>
            <w:tcW w:w="654"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结果符合</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符合</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符合</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项目实施结果是否与规划计划一致</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比率分值法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指标得分=项目实施结果符合规划的金额/项目总金额×100%*指标分值</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按项目法分配的项目，以所有项目点实施完成情况与规划计划情况进行对比。按因素法分配的项目和据实据效分配的项目，将资金分配方向与规划计划支持方向进行对比</w:t>
            </w:r>
          </w:p>
        </w:tc>
        <w:tc>
          <w:tcPr>
            <w:tcW w:w="654"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3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目标制定</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完整</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完整</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是否制定完整合理的绩效目标，比如数量、质量、效益及相关要求等。</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分级评分法</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不完整</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3处及以上不完整</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2处不完整</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1处不完整</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完整</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绩效目标完整、合理的得2分；未设置绩效目标不得分。</w:t>
            </w:r>
          </w:p>
        </w:tc>
        <w:tc>
          <w:tcPr>
            <w:tcW w:w="654"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2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项目实施</w:t>
            </w: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执行有效</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项目实施是否符合相关管理制度规定</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缺（错）项扣分法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发现一处扣0.5分，直至扣完</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4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使用合规</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合规</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合规</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项目资金使用是否符合相关的财务管理制度规定</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缺（错）项扣分法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发现一处扣0.5分，直至扣完</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8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预算执行</w:t>
            </w: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预算执行率</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反映项目资金整体预算执行情况</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比率分值法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指标得分=实际拨付下达资金/预算安排资金总额×100%*指标分值（预算安排资金总额一般采用年初预算数，若存在政策变化等因素可采用调整预算数）</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1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资金使用率</w:t>
            </w:r>
          </w:p>
        </w:tc>
        <w:tc>
          <w:tcPr>
            <w:tcW w:w="3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反映项目点获得资金的使用情况</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比率分值法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指标得分=项目点实际使用资金/获得补助资金总额×100%*指标分值</w:t>
            </w:r>
          </w:p>
        </w:tc>
        <w:tc>
          <w:tcPr>
            <w:tcW w:w="1738" w:type="dxa"/>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0" w:hRule="atLeast"/>
          <w:jc w:val="center"/>
        </w:trPr>
        <w:tc>
          <w:tcPr>
            <w:tcW w:w="5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产出指标（40分）</w:t>
            </w:r>
          </w:p>
        </w:tc>
        <w:tc>
          <w:tcPr>
            <w:tcW w:w="40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所有项目</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数量指标</w:t>
            </w: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补助发放企业数量</w:t>
            </w: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反映补助发放企业数量</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比率分值法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指标得分=应拨付企业数量/实际拨付企业数量×100%*指标分值</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主要查看补助资金发放企业数量</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质量指标</w:t>
            </w:r>
          </w:p>
        </w:tc>
        <w:tc>
          <w:tcPr>
            <w:tcW w:w="4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资金发放准确率</w:t>
            </w:r>
          </w:p>
        </w:tc>
        <w:tc>
          <w:tcPr>
            <w:tcW w:w="3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反映资金发放准确率</w:t>
            </w:r>
          </w:p>
        </w:tc>
        <w:tc>
          <w:tcPr>
            <w:tcW w:w="62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分级评分法</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73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主要查看资金发放账户与申请企业账户是否一致</w:t>
            </w:r>
          </w:p>
        </w:tc>
        <w:tc>
          <w:tcPr>
            <w:tcW w:w="65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4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4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准确率在80%以下</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准确率在85%以下</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准确率在90%以下</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准确率在95%以下</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成本指标</w:t>
            </w: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补助资金</w:t>
            </w: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符合</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符合</w:t>
            </w: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补助资金是否小于等于45.1万元</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缺（错）项扣分法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发现不符合要求，扣10分</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主要查看发放补助金额与申请补助金额是否一致</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时效指标</w:t>
            </w:r>
          </w:p>
        </w:tc>
        <w:tc>
          <w:tcPr>
            <w:tcW w:w="4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2023年</w:t>
            </w:r>
          </w:p>
        </w:tc>
        <w:tc>
          <w:tcPr>
            <w:tcW w:w="3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资金发放时间是否为2023年</w:t>
            </w:r>
          </w:p>
        </w:tc>
        <w:tc>
          <w:tcPr>
            <w:tcW w:w="62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分级评分法</w:t>
            </w: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173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主要查看补助资金发放时间</w:t>
            </w:r>
          </w:p>
        </w:tc>
        <w:tc>
          <w:tcPr>
            <w:tcW w:w="65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52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4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3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2024年4月后支付</w:t>
            </w:r>
          </w:p>
        </w:tc>
        <w:tc>
          <w:tcPr>
            <w:tcW w:w="7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2024年3月后支付</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2024年2月后支付</w:t>
            </w:r>
          </w:p>
        </w:tc>
        <w:tc>
          <w:tcPr>
            <w:tcW w:w="57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2024年1月后支付</w:t>
            </w:r>
          </w:p>
        </w:tc>
        <w:tc>
          <w:tcPr>
            <w:tcW w:w="34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2023年12月前支付</w:t>
            </w: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7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效益指标（30分）</w:t>
            </w:r>
          </w:p>
        </w:tc>
        <w:tc>
          <w:tcPr>
            <w:tcW w:w="402"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FF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社会效益</w:t>
            </w: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FF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0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FF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经济效益</w:t>
            </w: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年入库税金</w:t>
            </w: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反映企业年入库税金</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比率分值法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若企业实际年入库税金小于100万元：指标得分=企业实际年入库税金（万元）/100×100%*指标分值</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若企业实际年入库税金大于100万元：指标得30分</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主要查看企业年入库税金金额</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FF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FF0000"/>
                <w:sz w:val="18"/>
                <w:szCs w:val="18"/>
                <w:u w:val="none"/>
              </w:rPr>
            </w:pP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生态效益</w:t>
            </w: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26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jc w:val="center"/>
        </w:trPr>
        <w:tc>
          <w:tcPr>
            <w:tcW w:w="57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18"/>
                <w:szCs w:val="18"/>
                <w:u w:val="none"/>
              </w:rPr>
            </w:pPr>
          </w:p>
        </w:tc>
        <w:tc>
          <w:tcPr>
            <w:tcW w:w="40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FF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8"/>
                <w:szCs w:val="18"/>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c>
          <w:tcPr>
            <w:tcW w:w="26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57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满意度（10分）</w:t>
            </w:r>
          </w:p>
        </w:tc>
        <w:tc>
          <w:tcPr>
            <w:tcW w:w="4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所有项目</w:t>
            </w:r>
          </w:p>
        </w:tc>
        <w:tc>
          <w:tcPr>
            <w:tcW w:w="3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满意度</w:t>
            </w:r>
          </w:p>
        </w:tc>
        <w:tc>
          <w:tcPr>
            <w:tcW w:w="4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补助企业满意度</w:t>
            </w:r>
          </w:p>
        </w:tc>
        <w:tc>
          <w:tcPr>
            <w:tcW w:w="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反映企业满意度</w:t>
            </w:r>
          </w:p>
        </w:tc>
        <w:tc>
          <w:tcPr>
            <w:tcW w:w="6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比率分值法</w:t>
            </w:r>
          </w:p>
        </w:tc>
        <w:tc>
          <w:tcPr>
            <w:tcW w:w="264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若企业满意度小于98%：指标得分=企业满意度/98%×100%*指标分值</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若企业满意度大于98%：指标得10分</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主要查看企业满意度</w:t>
            </w:r>
          </w:p>
        </w:tc>
        <w:tc>
          <w:tcPr>
            <w:tcW w:w="654" w:type="dxa"/>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18"/>
                <w:szCs w:val="18"/>
                <w:u w:val="none"/>
              </w:rPr>
            </w:pP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r>
    </w:tbl>
    <w:p>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590" w:lineRule="exact"/>
        <w:ind w:right="0"/>
        <w:jc w:val="left"/>
        <w:rPr>
          <w:rFonts w:hint="eastAsia" w:ascii="黑体" w:hAnsi="黑体" w:eastAsia="黑体" w:cs="黑体"/>
          <w:color w:val="auto"/>
          <w:spacing w:val="-4"/>
          <w:sz w:val="32"/>
          <w:szCs w:val="32"/>
          <w:highlight w:val="none"/>
          <w:u w:val="none"/>
          <w:shd w:val="clear" w:color="auto" w:fill="auto"/>
          <w:lang w:val="en-US" w:eastAsia="zh-CN"/>
        </w:rPr>
      </w:pPr>
    </w:p>
    <w:sectPr>
      <w:footerReference r:id="rId3" w:type="default"/>
      <w:pgSz w:w="11906" w:h="16838"/>
      <w:pgMar w:top="1928" w:right="1474" w:bottom="1928" w:left="1587" w:header="851" w:footer="992"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2010609030101010101"/>
    <w:charset w:val="86"/>
    <w:family w:val="modern"/>
    <w:pitch w:val="default"/>
    <w:sig w:usb0="00000000" w:usb1="00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-483870</wp:posOffset>
              </wp:positionV>
              <wp:extent cx="1061085" cy="4794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61085" cy="479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38.1pt;height:37.75pt;width:83.55pt;mso-position-horizontal:outside;mso-position-horizontal-relative:margin;z-index:251659264;mso-width-relative:page;mso-height-relative:page;" filled="f" stroked="f" coordsize="21600,21600" o:gfxdata="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1jZsNQAAAAGAQAADwAAAAAAAAABACAAAAAiAAAAZHJzL2Rvd25yZXYu&#10;eG1sUEsBAhQAFAAAAAgAh07iQLf3zaE4AgAAYgQAAA4AAAAAAAAAAQAgAAAAIwEAAGRycy9lMm9E&#10;b2MueG1sUEsFBgAAAAAGAAYAWQEAAM0FAAAAAA==&#10;">
              <v:fill on="f" focussize="0,0"/>
              <v:stroke on="f" weight="0.5pt"/>
              <v:imagedata o:title=""/>
              <o:lock v:ext="edit" aspectratio="f"/>
              <v:textbox inset="0mm,0mm,0mm,0mm">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AA3CEC"/>
    <w:rsid w:val="01145609"/>
    <w:rsid w:val="01193968"/>
    <w:rsid w:val="01DF6163"/>
    <w:rsid w:val="02A66735"/>
    <w:rsid w:val="031A67DB"/>
    <w:rsid w:val="03A34A01"/>
    <w:rsid w:val="04BC470B"/>
    <w:rsid w:val="04BD4777"/>
    <w:rsid w:val="051C166B"/>
    <w:rsid w:val="05485881"/>
    <w:rsid w:val="055E32F7"/>
    <w:rsid w:val="07D77390"/>
    <w:rsid w:val="096536DF"/>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39B33E2"/>
    <w:rsid w:val="15510782"/>
    <w:rsid w:val="15D82EC7"/>
    <w:rsid w:val="17143815"/>
    <w:rsid w:val="17471E3D"/>
    <w:rsid w:val="174A7237"/>
    <w:rsid w:val="19037FE5"/>
    <w:rsid w:val="19131119"/>
    <w:rsid w:val="193006AE"/>
    <w:rsid w:val="19616ABA"/>
    <w:rsid w:val="1AE33D18"/>
    <w:rsid w:val="1C4032FE"/>
    <w:rsid w:val="1D41732E"/>
    <w:rsid w:val="1D9E78F3"/>
    <w:rsid w:val="1EA21E17"/>
    <w:rsid w:val="1EC458CD"/>
    <w:rsid w:val="1EF06916"/>
    <w:rsid w:val="207B0778"/>
    <w:rsid w:val="207B3599"/>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B350943"/>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6850D1"/>
    <w:rsid w:val="4BED60EF"/>
    <w:rsid w:val="4C835767"/>
    <w:rsid w:val="4D152177"/>
    <w:rsid w:val="4E8D742E"/>
    <w:rsid w:val="4E9B4950"/>
    <w:rsid w:val="4F8D65A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347A3D"/>
    <w:rsid w:val="728A58AF"/>
    <w:rsid w:val="72B621DC"/>
    <w:rsid w:val="73ED07EB"/>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0"/>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spacing w:after="120"/>
      <w:ind w:left="420" w:leftChars="200"/>
    </w:pPr>
    <w:rPr>
      <w:rFonts w:ascii="Times New Roman" w:hAnsi="Times New Roman" w:eastAsia="宋体" w:cs="Times New Roman"/>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5"/>
    <w:autoRedefine/>
    <w:qFormat/>
    <w:uiPriority w:val="0"/>
    <w:pPr>
      <w:ind w:firstLine="420" w:firstLineChars="200"/>
    </w:pPr>
    <w:rPr>
      <w:rFonts w:ascii="Times New Roman" w:hAnsi="Times New Roman" w:eastAsia="宋体" w:cs="Times New Roman"/>
    </w:rPr>
  </w:style>
  <w:style w:type="paragraph" w:customStyle="1" w:styleId="14">
    <w:name w:val="footer1"/>
    <w:basedOn w:val="1"/>
    <w:autoRedefine/>
    <w:qFormat/>
    <w:uiPriority w:val="0"/>
    <w:pPr>
      <w:tabs>
        <w:tab w:val="center" w:pos="4153"/>
        <w:tab w:val="right" w:pos="8306"/>
      </w:tabs>
      <w:snapToGrid w:val="0"/>
      <w:jc w:val="left"/>
    </w:pPr>
    <w:rPr>
      <w:sz w:val="18"/>
    </w:rPr>
  </w:style>
  <w:style w:type="paragraph" w:customStyle="1" w:styleId="15">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6">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7">
    <w:name w:val="节标题"/>
    <w:basedOn w:val="1"/>
    <w:next w:val="1"/>
    <w:autoRedefine/>
    <w:qFormat/>
    <w:uiPriority w:val="99"/>
    <w:pPr>
      <w:spacing w:line="289" w:lineRule="atLeast"/>
      <w:jc w:val="center"/>
      <w:textAlignment w:val="baseline"/>
    </w:pPr>
    <w:rPr>
      <w:color w:val="000000"/>
      <w:sz w:val="28"/>
    </w:rPr>
  </w:style>
  <w:style w:type="paragraph" w:customStyle="1" w:styleId="18">
    <w:name w:val="UserStyle_0"/>
    <w:basedOn w:val="19"/>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19">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0">
    <w:name w:val="NormalCharacter"/>
    <w:link w:val="1"/>
    <w:autoRedefine/>
    <w:semiHidden/>
    <w:qFormat/>
    <w:uiPriority w:val="0"/>
  </w:style>
  <w:style w:type="table" w:customStyle="1" w:styleId="21">
    <w:name w:val="TableNormal"/>
    <w:autoRedefine/>
    <w:semiHidden/>
    <w:qFormat/>
    <w:uiPriority w:val="0"/>
  </w:style>
  <w:style w:type="paragraph" w:customStyle="1" w:styleId="22">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3798</Words>
  <Characters>4158</Characters>
  <Lines>0</Lines>
  <Paragraphs>0</Paragraphs>
  <TotalTime>5</TotalTime>
  <ScaleCrop>false</ScaleCrop>
  <LinksUpToDate>false</LinksUpToDate>
  <CharactersWithSpaces>4170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2024-04-08T13:35:00Z</cp:lastPrinted>
  <dcterms:modified xsi:type="dcterms:W3CDTF">2024-05-07T02:21:43Z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B0A1C1F153014B40B68BD10983C78CA6</vt:lpwstr>
  </property>
</Properties>
</file>